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C1A" w:rsidRPr="006F0C1A" w:rsidRDefault="006F0C1A" w:rsidP="006F0C1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СТВОРЕННЯ УМОВ ДЛЯ ЗАБЕЗПЕЧЕННЯ ПРОДОВОЛЬЧОЇ БЕЗПЕКИ В УМОВАХ ВОЄННОГО СТАНУ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📌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07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квітня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2022 року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набув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чинності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Закон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прийнятий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24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березня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2022 року № 2145-IХ «Про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внесення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деяких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законодавчих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актів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України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створення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умов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забезпечення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продовольчої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безпеки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умовах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стану»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Фактично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весь спектр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стосується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регулювання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відносин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сфері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земельного права,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поширюється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основному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чотири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типи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ймовірних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договірних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відносин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: 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️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договори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суборенди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емфітевзису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суперфіцію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земельного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сервітуту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строк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користування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ділянками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закінчився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після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введення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стану; 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️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передача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комунальної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; 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3️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передача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землекористувачами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використовують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комунальної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праві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постійного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користування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; 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️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передача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орендарями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суборендарями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💢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Зараз ми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розберемо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схожості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відмінності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внесених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змінах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відносно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кожного типу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відносин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⭕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1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️⃣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вважаються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поновленими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один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рік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без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волевиявлення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сторін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суборенди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емфітевзису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суперфіцію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земельного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сервітуту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строк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користування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ділянками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закінчився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після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введення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стану.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норма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стосується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приватної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комунальної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невитребуваних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нерозподілених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залишилися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колективній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були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органами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місцевого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самоврядування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.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Тобто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без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будь-яких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строки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договорів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закінчилися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стану, автоматично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пролонгуються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один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рік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а як же бути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власниками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самостійно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хочуть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обробляти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належну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землю,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введення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вжили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всіх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необхідних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заходів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припинення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відносин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надіслали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листи-повідомлення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закупили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посів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матеріал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придбали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ГСМ)?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⭕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2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2️⃣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можливо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взяти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ведення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товарного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виробництва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строк до одного року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комунальної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витребуванні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розподіленні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частки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колишніх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підприємств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⭕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Передача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вказаних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таких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умовах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: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розмір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плати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перевищувати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8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відсотків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нормативної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грошової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оцінки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Орендар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має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права на: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компенсацію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витрат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поліпшення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6" name="Рисунок 1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поновлення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7" name="Рисунок 1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укладення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новий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строк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використанням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переважного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орендаря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8" name="Рисунок 18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передачу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суборенду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19" name="Рисунок 19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встановлення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земельного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сервітуту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0" name="Рисунок 20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угідь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1" name="Рисунок 21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будівництво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ділянці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об’єктів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нерухомого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майна (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будівель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споруд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);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2" name="Рисунок 22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закладення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ділянці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багаторічних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насаджень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3" name="Рисунок 23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переважне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право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купівлю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орендованої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разі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продажу;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4" name="Рисунок 24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відчуження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, передачу в заставу (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іпотеку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 права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користування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земельною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поділ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об’єднання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земельною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6" name="Рисунок 26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використання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потреб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наявних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ділянці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загальнопоширених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копалин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торфу,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лісу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водних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об’єктів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властивостей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;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▪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▪️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цільового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28" name="Рисунок 28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⚠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Передача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таких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без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проведення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торгів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.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29" name="Рисунок 29" descr="⚠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⚠️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права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виставленні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торги,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але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завершенні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можуть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бути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переданні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вищезазначених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умовах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торги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вважаються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скасованими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оголошення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нових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торгів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забороняється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30" name="Рисунок 30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✅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Формування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метою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передачі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підставі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технічної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документації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землеустрою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інвентаризації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земель, яка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розробляється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рішенням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органу,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уповноваженого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передавати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затверджується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таким органом.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1" name="Рисунок 31" descr="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⭕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2" name="Рисунок 32" descr="3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3️⃣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землекористувачі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використовують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комунальної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праві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постійного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користування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(в основному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ведення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фермерського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господраства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емфітевзису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можуть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передавати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строком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одного року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33" name="Рисунок 33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❗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4" name="Рисунок 34" descr="⭕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⭕️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5" name="Рисунок 35" descr="4️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4️⃣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орендарі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суборендарі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усіх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форм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можуть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передавати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строк до одного року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належне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суборенди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іншій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особі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використання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цільовим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призначенням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.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передача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без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згоди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власника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ж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об’єднує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останні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три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типи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договорів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6" name="Рисунок 36" descr="⁉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⁉️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7" name="Рисунок 37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💥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надаються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більше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ніж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один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рік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виключно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ведення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товарного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виробництва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8" name="Рисунок 38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💥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Договір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передбачати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передачу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декількох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земельних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ділянок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одним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власником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розпорядником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користувачем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39" name="Рисунок 39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💥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Договір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може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бути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поновлений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укладений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новий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строк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припиняється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спливом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строку,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який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його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укладено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0" name="Рисунок 40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💥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Договір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укладається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електронній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формі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1" name="Рисунок 41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💥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Право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підлягає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реєстрації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але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обов’язкова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реєстрація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самого договору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районною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адміністрацією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.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реєстрація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договору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заявою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власника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розпорядника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користувача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земельної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ділянки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(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орендодавця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).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Районна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військова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адміністрація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повинна вести книгу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реєстрації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землеволодінь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землекористувань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умовах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стану, в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якій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реєстрація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договорів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2" name="Рисунок 42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💥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Укладення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договорів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здійснюється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без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внесення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відомостей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до Державного земельного кадастру та Державного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реєстру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прав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нерухоме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майно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3" name="Рисунок 43" descr="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💥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Припинення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скасування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не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є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підставою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для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припинення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або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договорів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оренди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0" t="0" r="0" b="0"/>
            <wp:docPr id="44" name="Рисунок 44" descr="❗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❗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Також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потрібно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зазначити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стану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забороняється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5" name="Рисунок 45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безоплатна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передача земель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державної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комунальної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власності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приватну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власність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6" name="Рисунок 46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дозволів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на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розроблення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документації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землеустрою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метою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безоплатної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передачі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7" name="Рисунок 47" descr="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❌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розроблення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такої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документації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ПІДСУМОВУЮЧИ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8" name="Рисунок 48" descr="‼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‼️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Вказаними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змінами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Держава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хоче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забезпечити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стале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та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безперебійне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виробництво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сільськогосподарської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продукції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яке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надзвичайно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важливе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воєнний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час.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49" name="Рисунок 49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✍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Інформація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підготовлена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юристом «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Новомиколаївського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бюро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правової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допомоги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»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Запорізького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місцевого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центру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надання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БВПД </w:t>
      </w:r>
      <w:hyperlink r:id="rId21" w:history="1">
        <w:proofErr w:type="spellStart"/>
        <w:r w:rsidRPr="006F0C1A">
          <w:rPr>
            <w:rFonts w:ascii="inherit" w:eastAsia="Times New Roman" w:hAnsi="inherit" w:cs="Segoe UI Historic"/>
            <w:color w:val="0000FF"/>
            <w:sz w:val="21"/>
            <w:lang w:eastAsia="ru-RU"/>
          </w:rPr>
          <w:t>Олександр</w:t>
        </w:r>
        <w:proofErr w:type="spellEnd"/>
        <w:r w:rsidRPr="006F0C1A">
          <w:rPr>
            <w:rFonts w:ascii="inherit" w:eastAsia="Times New Roman" w:hAnsi="inherit" w:cs="Segoe UI Historic"/>
            <w:color w:val="0000FF"/>
            <w:sz w:val="21"/>
            <w:lang w:eastAsia="ru-RU"/>
          </w:rPr>
          <w:t xml:space="preserve"> </w:t>
        </w:r>
        <w:proofErr w:type="spellStart"/>
        <w:r w:rsidRPr="006F0C1A">
          <w:rPr>
            <w:rFonts w:ascii="inherit" w:eastAsia="Times New Roman" w:hAnsi="inherit" w:cs="Segoe UI Historic"/>
            <w:color w:val="0000FF"/>
            <w:sz w:val="21"/>
            <w:lang w:eastAsia="ru-RU"/>
          </w:rPr>
          <w:t>Котов</w:t>
        </w:r>
      </w:hyperlink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им</w:t>
      </w:r>
      <w:proofErr w:type="spellEnd"/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50" name="Рисунок 50" descr="✍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✍️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Якшо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у вас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залишились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питання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щодо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змін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в земельному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законодавстві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,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ви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можете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задати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</w:t>
      </w:r>
      <w:proofErr w:type="spellStart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>їх</w:t>
      </w:r>
      <w:proofErr w:type="spellEnd"/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 за тел. 0959454853</w:t>
      </w:r>
    </w:p>
    <w:p w:rsidR="006F0C1A" w:rsidRPr="006F0C1A" w:rsidRDefault="006F0C1A" w:rsidP="006F0C1A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</w:pPr>
      <w:r w:rsidRPr="006F0C1A">
        <w:rPr>
          <w:rFonts w:ascii="inherit" w:eastAsia="Times New Roman" w:hAnsi="inherit" w:cs="Segoe UI Historic"/>
          <w:color w:val="050505"/>
          <w:sz w:val="21"/>
          <w:szCs w:val="21"/>
          <w:lang w:eastAsia="ru-RU"/>
        </w:rPr>
        <w:t xml:space="preserve">РАЗОМ ПЕРЕМОЖЕМО! </w:t>
      </w:r>
      <w:r>
        <w:rPr>
          <w:rFonts w:ascii="inherit" w:eastAsia="Times New Roman" w:hAnsi="inherit" w:cs="Segoe UI Historic"/>
          <w:noProof/>
          <w:color w:val="050505"/>
          <w:sz w:val="21"/>
          <w:szCs w:val="21"/>
          <w:lang w:eastAsia="ru-RU"/>
        </w:rPr>
        <w:drawing>
          <wp:inline distT="0" distB="0" distL="0" distR="0">
            <wp:extent cx="152400" cy="152400"/>
            <wp:effectExtent l="19050" t="0" r="0" b="0"/>
            <wp:docPr id="51" name="Рисунок 51" descr="🇺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🇺🇦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586" w:rsidRDefault="00A73586"/>
    <w:sectPr w:rsidR="00A73586" w:rsidSect="00A7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F0C1A"/>
    <w:rsid w:val="006F0C1A"/>
    <w:rsid w:val="00A73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c684nl6">
    <w:name w:val="nc684nl6"/>
    <w:basedOn w:val="a0"/>
    <w:rsid w:val="006F0C1A"/>
  </w:style>
  <w:style w:type="paragraph" w:styleId="a3">
    <w:name w:val="Balloon Text"/>
    <w:basedOn w:val="a"/>
    <w:link w:val="a4"/>
    <w:uiPriority w:val="99"/>
    <w:semiHidden/>
    <w:unhideWhenUsed/>
    <w:rsid w:val="006F0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C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4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3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9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4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88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5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92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6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2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43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0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s://www.facebook.com/groups/824079448445658/user/100013729358693/?__cft__%5b0%5d=AZVqRzVVj-zYUA9N8DDivY_GdmqlcXZRPnho43vNdo1Hsc5Pg9Ig7mdjXbwOzfFp37SoDC89_YDQUTXM6JHMYThLXmYUreVgoXtNYO9YVWElzgxd7SW2BhZoUFB5GDQhSOXbTBtqO19_N8BnXw2xzb8x0Doe5oVfKZWTrAr9lhVzZw&amp;__tn__=-%5dK-y-R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1044</Words>
  <Characters>5955</Characters>
  <Application>Microsoft Office Word</Application>
  <DocSecurity>0</DocSecurity>
  <Lines>49</Lines>
  <Paragraphs>13</Paragraphs>
  <ScaleCrop>false</ScaleCrop>
  <Company/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TW</cp:lastModifiedBy>
  <cp:revision>1</cp:revision>
  <dcterms:created xsi:type="dcterms:W3CDTF">2022-04-21T18:05:00Z</dcterms:created>
  <dcterms:modified xsi:type="dcterms:W3CDTF">2022-04-21T18:06:00Z</dcterms:modified>
</cp:coreProperties>
</file>