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39" w:rsidRPr="00E41A39" w:rsidRDefault="00E41A39" w:rsidP="001A5DD3">
      <w:pPr>
        <w:spacing w:after="0" w:line="259" w:lineRule="auto"/>
        <w:jc w:val="center"/>
        <w:rPr>
          <w:rFonts w:ascii="Calibri" w:eastAsia="Times New Roman" w:hAnsi="Calibri" w:cs="Times New Roman"/>
          <w:noProof/>
        </w:rPr>
      </w:pPr>
      <w:r w:rsidRPr="00E41A39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468563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39" w:rsidRPr="00E41A39" w:rsidRDefault="00E41A39" w:rsidP="00E41A39">
      <w:pPr>
        <w:spacing w:after="0" w:line="259" w:lineRule="auto"/>
        <w:jc w:val="center"/>
        <w:rPr>
          <w:rFonts w:ascii="Calibri" w:eastAsia="Times New Roman" w:hAnsi="Calibri" w:cs="Times New Roman"/>
          <w:noProof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E41A39" w:rsidRPr="00E41A39" w:rsidRDefault="00E41A39" w:rsidP="00E41A39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E41A39" w:rsidRPr="00E41A39" w:rsidRDefault="00E41A39" w:rsidP="00E41A39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E41A39" w:rsidRPr="00E41A39" w:rsidRDefault="00E41A39" w:rsidP="00E41A39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ДВАДЦЯТЬ СЬОМА СЕСІЯ</w:t>
      </w:r>
    </w:p>
    <w:p w:rsidR="00E41A39" w:rsidRPr="00E41A39" w:rsidRDefault="00E41A39" w:rsidP="00E41A39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E41A39" w:rsidRPr="00E41A39" w:rsidRDefault="00E41A39" w:rsidP="00E41A3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A39" w:rsidRPr="00E41A39" w:rsidRDefault="00E41A39" w:rsidP="00E41A39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E41A39" w:rsidRPr="00E41A39" w:rsidTr="00636DF9">
        <w:tc>
          <w:tcPr>
            <w:tcW w:w="4952" w:type="dxa"/>
          </w:tcPr>
          <w:p w:rsidR="00E41A39" w:rsidRPr="00E41A39" w:rsidRDefault="00E41A39" w:rsidP="00E41A39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</w:t>
            </w: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52" w:type="dxa"/>
          </w:tcPr>
          <w:p w:rsidR="00E41A39" w:rsidRPr="00E41A39" w:rsidRDefault="00E41A39" w:rsidP="00E41A39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AD11E7" w:rsidRPr="001A3E4F" w:rsidRDefault="00AD11E7" w:rsidP="0081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A39" w:rsidTr="00E41A39">
        <w:tc>
          <w:tcPr>
            <w:tcW w:w="4785" w:type="dxa"/>
          </w:tcPr>
          <w:p w:rsidR="00E41A39" w:rsidRDefault="0045250D" w:rsidP="00E41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</w:t>
            </w:r>
            <w:proofErr w:type="spellEnd"/>
            <w:r w:rsidR="00E41A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</w:t>
            </w:r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</w:rPr>
              <w:t>ргоефективності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E41A39" w:rsidRPr="001A3E4F">
              <w:rPr>
                <w:rFonts w:ascii="Times New Roman" w:eastAsia="Times New Roman" w:hAnsi="Times New Roman" w:cs="Times New Roman"/>
                <w:sz w:val="28"/>
                <w:szCs w:val="28"/>
              </w:rPr>
              <w:t>-2020 роки</w:t>
            </w:r>
          </w:p>
        </w:tc>
        <w:tc>
          <w:tcPr>
            <w:tcW w:w="4786" w:type="dxa"/>
          </w:tcPr>
          <w:p w:rsidR="00E41A39" w:rsidRDefault="00E41A39" w:rsidP="00F611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1A39" w:rsidRDefault="00E41A39" w:rsidP="00F6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033" w:rsidRPr="001A3E4F" w:rsidRDefault="00B65033" w:rsidP="00B65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“Про місцеве самоврядування в Україні”, Закон</w:t>
      </w: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“Про енергозбереження” та постанов</w:t>
      </w: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01.03.2010 р. №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243 “Про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2010-2016 роки” (зі змінами),</w:t>
      </w: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організації заходів з енергозбереження, Комишуваська селищна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рада</w:t>
      </w:r>
    </w:p>
    <w:p w:rsidR="00B65033" w:rsidRPr="001A3E4F" w:rsidRDefault="00B65033" w:rsidP="00B65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11E7" w:rsidRPr="001A3E4F" w:rsidRDefault="00AD11E7" w:rsidP="00B65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B65033" w:rsidRPr="001A3E4F" w:rsidRDefault="00B65033" w:rsidP="00B65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033" w:rsidRDefault="00D55925" w:rsidP="001A3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енергозбереження</w:t>
      </w:r>
      <w:proofErr w:type="spellEnd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 w:rsidR="0045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-2020 роки (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5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E5" w:rsidRPr="00057CE5" w:rsidRDefault="00057CE5" w:rsidP="001A3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033" w:rsidRDefault="00D55925" w:rsidP="001A3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Начальніку фінансового відділу Івахненко Т.Р. 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передбачати кошти на реалізацію заходів Програми, фінансування яких здійснюється за рахунок коштів </w:t>
      </w:r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бюджету.</w:t>
      </w:r>
    </w:p>
    <w:p w:rsidR="00057CE5" w:rsidRPr="001A3E4F" w:rsidRDefault="00057CE5" w:rsidP="001A3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5925" w:rsidRDefault="00AD11E7" w:rsidP="00D559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1A3E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керівникам структурних підрозділів </w:t>
      </w:r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керівникам підприємств усіх форм власності забезпечити виконання Програми та щоквартально до 15 числа місяця наступного за звітним періодом інформувати  відділ </w:t>
      </w:r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хід її виконання.</w:t>
      </w:r>
    </w:p>
    <w:p w:rsidR="00057CE5" w:rsidRPr="001A3E4F" w:rsidRDefault="00057CE5" w:rsidP="00D559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5DD3" w:rsidRDefault="00D55925" w:rsidP="001A5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 w:rsidR="00B65033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покласти на</w:t>
      </w:r>
      <w:r w:rsidR="00AD11E7"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постійній комісії з питань</w:t>
      </w:r>
      <w:r w:rsidRPr="001A3E4F">
        <w:rPr>
          <w:rFonts w:ascii="Times New Roman" w:hAnsi="Times New Roman" w:cs="Times New Roman"/>
          <w:sz w:val="28"/>
          <w:szCs w:val="28"/>
          <w:lang w:val="uk-UA"/>
        </w:rPr>
        <w:t>містобудування, будівництва, земельних відносин та  охорони природи</w:t>
      </w:r>
      <w:r w:rsidRPr="001A3E4F">
        <w:rPr>
          <w:sz w:val="28"/>
          <w:szCs w:val="28"/>
          <w:lang w:val="uk-UA"/>
        </w:rPr>
        <w:t>.</w:t>
      </w:r>
    </w:p>
    <w:p w:rsidR="001A5DD3" w:rsidRDefault="001A5DD3" w:rsidP="001A5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925" w:rsidRPr="001A5DD3" w:rsidRDefault="00C92262" w:rsidP="001A5DD3">
      <w:pPr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 w:rsidRPr="001A3E4F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="00D55925" w:rsidRPr="001A3E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25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D55925" w:rsidRPr="001A3E4F">
        <w:rPr>
          <w:rFonts w:ascii="Times New Roman" w:hAnsi="Times New Roman" w:cs="Times New Roman"/>
          <w:sz w:val="28"/>
          <w:szCs w:val="28"/>
          <w:lang w:val="uk-UA"/>
        </w:rPr>
        <w:t>Ю.В. Карапетян</w:t>
      </w:r>
    </w:p>
    <w:tbl>
      <w:tblPr>
        <w:tblStyle w:val="1"/>
        <w:tblpPr w:leftFromText="180" w:rightFromText="180" w:vertAnchor="page" w:horzAnchor="margin" w:tblpXSpec="center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A3A92" w:rsidRPr="008A3A92" w:rsidTr="00636DF9">
        <w:tc>
          <w:tcPr>
            <w:tcW w:w="5495" w:type="dxa"/>
          </w:tcPr>
          <w:p w:rsidR="008A3A92" w:rsidRPr="008A3A92" w:rsidRDefault="008A3A92" w:rsidP="008A3A92">
            <w:pPr>
              <w:rPr>
                <w:lang w:val="uk-UA"/>
              </w:rPr>
            </w:pPr>
          </w:p>
        </w:tc>
        <w:tc>
          <w:tcPr>
            <w:tcW w:w="4076" w:type="dxa"/>
          </w:tcPr>
          <w:p w:rsidR="008A3A92" w:rsidRPr="008A3A92" w:rsidRDefault="008A3A92" w:rsidP="008A3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ЗАТВЕРДЖЕНО</w:t>
            </w:r>
          </w:p>
          <w:p w:rsidR="008A3A92" w:rsidRPr="008A3A92" w:rsidRDefault="008A3A92" w:rsidP="008A3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двадцять сьомої сесії Комишуваської селищної ради</w:t>
            </w:r>
          </w:p>
          <w:p w:rsidR="008A3A92" w:rsidRPr="008A3A92" w:rsidRDefault="008A3A92" w:rsidP="008A3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18.06.2018 № 13</w:t>
            </w:r>
          </w:p>
        </w:tc>
      </w:tr>
    </w:tbl>
    <w:p w:rsidR="00D55925" w:rsidRDefault="00D55925" w:rsidP="00D5592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55925" w:rsidRDefault="00D55925" w:rsidP="00D5592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55925" w:rsidRDefault="00D55925" w:rsidP="00D5592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55925" w:rsidRDefault="00D55925" w:rsidP="00D5592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55925" w:rsidRDefault="00D55925" w:rsidP="00D5592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D11E7" w:rsidRDefault="00AD11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60A5C" w:rsidRDefault="00760A5C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60A5C" w:rsidRDefault="00760A5C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60A5C" w:rsidRDefault="00760A5C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60A5C" w:rsidRDefault="00760A5C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60A5C" w:rsidRDefault="00760A5C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60A5C" w:rsidRPr="00D55925" w:rsidRDefault="00760A5C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BD2883" w:rsidRPr="001A3E4F" w:rsidRDefault="00BD2883" w:rsidP="00BD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1A3E4F">
        <w:rPr>
          <w:rFonts w:ascii="Times New Roman" w:eastAsia="Times New Roman" w:hAnsi="Times New Roman" w:cs="Times New Roman"/>
          <w:sz w:val="44"/>
          <w:szCs w:val="44"/>
          <w:lang w:val="uk-UA"/>
        </w:rPr>
        <w:t>ПРОГРАМА</w:t>
      </w:r>
    </w:p>
    <w:p w:rsidR="00BD2883" w:rsidRPr="001A3E4F" w:rsidRDefault="00BD2883" w:rsidP="00BD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1A3E4F">
        <w:rPr>
          <w:rFonts w:ascii="Times New Roman" w:eastAsia="Times New Roman" w:hAnsi="Times New Roman" w:cs="Times New Roman"/>
          <w:sz w:val="36"/>
          <w:szCs w:val="36"/>
          <w:lang w:val="uk-UA"/>
        </w:rPr>
        <w:t>З ЕНЕРГОЗБЕРЕЖЕННЯ</w:t>
      </w:r>
      <w:r w:rsidR="00DC71E9" w:rsidRPr="001A3E4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ТА ЕНЕРГОЕФЕКТИВНОСТІ </w:t>
      </w:r>
      <w:r w:rsidRPr="001A3E4F">
        <w:rPr>
          <w:rFonts w:ascii="Times New Roman" w:eastAsia="Times New Roman" w:hAnsi="Times New Roman" w:cs="Times New Roman"/>
          <w:sz w:val="36"/>
          <w:szCs w:val="36"/>
          <w:lang w:val="uk-UA"/>
        </w:rPr>
        <w:t>КОМИШУВАСЬКОЇ СЕЛИЩНОЇ РАДИ НА 2018-2020 РОКИ</w:t>
      </w: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83" w:rsidRPr="001A3E4F" w:rsidRDefault="00BD2883" w:rsidP="00BD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E4F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Комишуваха 2018 рік</w:t>
      </w:r>
    </w:p>
    <w:p w:rsidR="00BD2883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BD2883" w:rsidRPr="00F57B2C" w:rsidRDefault="001B3587" w:rsidP="001B3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1B3587" w:rsidRPr="00F57B2C" w:rsidRDefault="001B3587" w:rsidP="001B3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115"/>
        <w:gridCol w:w="922"/>
      </w:tblGrid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1B3587" w:rsidP="001B3587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  <w:proofErr w:type="spellStart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енергозбереження</w:t>
            </w:r>
            <w:proofErr w:type="spellEnd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  <w:r w:rsid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>-2020 роки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1B3587" w:rsidP="002A77C2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Аналіз  сучасного стану </w:t>
            </w:r>
            <w:proofErr w:type="spellStart"/>
            <w:r w:rsidR="00552883"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енергозбереження</w:t>
            </w:r>
            <w:proofErr w:type="spellEnd"/>
            <w:r w:rsidR="00552883"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52883" w:rsidRPr="00F57B2C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  <w:r w:rsid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2883"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="00552883"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172747" w:rsidP="0017274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57B2C">
              <w:rPr>
                <w:sz w:val="28"/>
                <w:szCs w:val="28"/>
                <w:lang w:val="uk-UA"/>
              </w:rPr>
              <w:t>Очікувані результати ефективності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17611A" w:rsidP="0017611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57B2C">
              <w:rPr>
                <w:sz w:val="28"/>
                <w:szCs w:val="28"/>
                <w:lang w:val="uk-UA"/>
              </w:rPr>
              <w:t>Обсяги та джерела фінансування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587" w:rsidRPr="00F57B2C" w:rsidTr="0029439D">
        <w:tc>
          <w:tcPr>
            <w:tcW w:w="534" w:type="dxa"/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1B3587" w:rsidRPr="00F57B2C" w:rsidRDefault="00A93E0D" w:rsidP="00A93E0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57B2C">
              <w:rPr>
                <w:sz w:val="28"/>
                <w:szCs w:val="28"/>
                <w:lang w:val="uk-UA"/>
              </w:rPr>
              <w:t>К</w:t>
            </w:r>
            <w:r w:rsidR="001B3587" w:rsidRPr="00F57B2C">
              <w:rPr>
                <w:sz w:val="28"/>
                <w:szCs w:val="28"/>
                <w:lang w:val="uk-UA"/>
              </w:rPr>
              <w:t>онтроль за ходом  реалізації</w:t>
            </w:r>
            <w:r w:rsidRPr="00F57B2C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B3587" w:rsidRPr="00F57B2C" w:rsidRDefault="001B3587" w:rsidP="002943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2883" w:rsidRPr="00F57B2C" w:rsidRDefault="00BD2883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587" w:rsidRPr="00F57B2C" w:rsidRDefault="001B358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47" w:rsidRPr="00F57B2C" w:rsidRDefault="0017274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47" w:rsidRPr="00F57B2C" w:rsidRDefault="0017274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47" w:rsidRPr="00F57B2C" w:rsidRDefault="0017274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47" w:rsidRDefault="0017274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0ED0" w:rsidRPr="00F57B2C" w:rsidRDefault="00320ED0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0ED0" w:rsidRDefault="00BB26E7" w:rsidP="00320ED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57B2C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І. Паспорт</w:t>
      </w:r>
    </w:p>
    <w:p w:rsidR="00BB26E7" w:rsidRPr="00320ED0" w:rsidRDefault="00BB26E7" w:rsidP="00320ED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F57B2C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7B2C">
        <w:rPr>
          <w:rFonts w:ascii="Times New Roman" w:eastAsia="Times New Roman" w:hAnsi="Times New Roman" w:cs="Times New Roman"/>
          <w:sz w:val="28"/>
          <w:szCs w:val="28"/>
        </w:rPr>
        <w:t>енергозбереження</w:t>
      </w:r>
      <w:proofErr w:type="spellEnd"/>
      <w:r w:rsidRPr="00F57B2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7B2C"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-2020 роки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94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 селищної ради</w:t>
            </w:r>
          </w:p>
        </w:tc>
      </w:tr>
      <w:tr w:rsidR="00BB26E7" w:rsidRPr="0045250D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Дата, номер і назва рішення про затвердження органу місцевого самоврядування </w:t>
            </w:r>
          </w:p>
        </w:tc>
        <w:tc>
          <w:tcPr>
            <w:tcW w:w="5494" w:type="dxa"/>
          </w:tcPr>
          <w:p w:rsidR="00BB26E7" w:rsidRPr="00925DEE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Рішення сесії Комишува</w:t>
            </w:r>
            <w:r w:rsidR="00320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ської селищної ради від </w:t>
            </w:r>
            <w:r w:rsidR="00320ED0" w:rsidRP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18.06.2018 № 13</w:t>
            </w:r>
            <w:r w:rsid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25DEE" w:rsidRP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</w:t>
            </w:r>
            <w:r w:rsid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 </w:t>
            </w:r>
            <w:r w:rsidR="00925DEE" w:rsidRP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5DEE" w:rsidRP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енергозбереження</w:t>
            </w:r>
            <w:r w:rsid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5DEE" w:rsidRP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5DEE" w:rsidRPr="001A3E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</w:t>
            </w:r>
            <w:r w:rsidR="00925DEE" w:rsidRP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ргоефективності</w:t>
            </w:r>
            <w:proofErr w:type="spellEnd"/>
            <w:r w:rsid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5DEE" w:rsidRPr="001A3E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селищної ради2018</w:t>
            </w:r>
            <w:r w:rsidR="00925DEE" w:rsidRP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-2020 роки</w:t>
            </w:r>
            <w:r w:rsidR="00925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5494" w:type="dxa"/>
          </w:tcPr>
          <w:p w:rsidR="00BB26E7" w:rsidRPr="00F57B2C" w:rsidRDefault="00BB26E7" w:rsidP="00BB2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господарства, фінансовий відділ,  фінансовий відділ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 виконавець</w:t>
            </w:r>
          </w:p>
        </w:tc>
        <w:tc>
          <w:tcPr>
            <w:tcW w:w="5494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 селищної ради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494" w:type="dxa"/>
          </w:tcPr>
          <w:p w:rsidR="00BB26E7" w:rsidRPr="00F57B2C" w:rsidRDefault="00BB26E7" w:rsidP="00BB2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житлово-комунального господарства, фінансовий відділ, керівники структурних підрозділів селищної ради , керівники підприємств усіх форм власності 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Термін реалізації програми</w:t>
            </w:r>
          </w:p>
        </w:tc>
        <w:tc>
          <w:tcPr>
            <w:tcW w:w="5494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2018-2022 роки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бюджетів, що беруть участь у виконанні програми</w:t>
            </w:r>
          </w:p>
        </w:tc>
        <w:tc>
          <w:tcPr>
            <w:tcW w:w="5494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Бюджети всіх рівнів та джерела не заборонені чинним законодавством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ресурсів необхідних для виконання  програми усього</w:t>
            </w:r>
          </w:p>
        </w:tc>
        <w:tc>
          <w:tcPr>
            <w:tcW w:w="5494" w:type="dxa"/>
          </w:tcPr>
          <w:p w:rsidR="00BB26E7" w:rsidRPr="00F57B2C" w:rsidRDefault="00016614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8000,000тис.грн.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494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5494" w:type="dxa"/>
          </w:tcPr>
          <w:p w:rsidR="00BB26E7" w:rsidRPr="00F57B2C" w:rsidRDefault="00016614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5000,00тис.грн.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5494" w:type="dxa"/>
          </w:tcPr>
          <w:p w:rsidR="00BB26E7" w:rsidRPr="00F57B2C" w:rsidRDefault="00016614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1500,00тис.грн.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8.3.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селищного бюджету</w:t>
            </w:r>
          </w:p>
        </w:tc>
        <w:tc>
          <w:tcPr>
            <w:tcW w:w="5494" w:type="dxa"/>
          </w:tcPr>
          <w:p w:rsidR="00BB26E7" w:rsidRPr="00F57B2C" w:rsidRDefault="00016614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800,00тис.грн.</w:t>
            </w:r>
          </w:p>
        </w:tc>
      </w:tr>
      <w:tr w:rsidR="00BB26E7" w:rsidRPr="00F57B2C" w:rsidTr="00D772FA">
        <w:tc>
          <w:tcPr>
            <w:tcW w:w="817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8.4.</w:t>
            </w:r>
          </w:p>
        </w:tc>
        <w:tc>
          <w:tcPr>
            <w:tcW w:w="3260" w:type="dxa"/>
          </w:tcPr>
          <w:p w:rsidR="00BB26E7" w:rsidRPr="00F57B2C" w:rsidRDefault="00BB26E7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інших джерел не заборонених чинним законодавством</w:t>
            </w:r>
          </w:p>
        </w:tc>
        <w:tc>
          <w:tcPr>
            <w:tcW w:w="5494" w:type="dxa"/>
          </w:tcPr>
          <w:p w:rsidR="00BB26E7" w:rsidRPr="00F57B2C" w:rsidRDefault="00016614" w:rsidP="00D7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700,00 </w:t>
            </w:r>
            <w:proofErr w:type="spellStart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F57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B26E7" w:rsidRPr="00F57B2C" w:rsidRDefault="00BB26E7" w:rsidP="00BB2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6E7" w:rsidRPr="00F57B2C" w:rsidRDefault="00BB26E7" w:rsidP="00BB26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B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2747" w:rsidRPr="00F57B2C" w:rsidRDefault="0017274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747" w:rsidRDefault="0017274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1D96" w:rsidRPr="00F57B2C" w:rsidRDefault="008D1D96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11E7" w:rsidRPr="00F57B2C" w:rsidRDefault="002A77C2" w:rsidP="00905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ІІ. </w:t>
      </w:r>
      <w:r w:rsidR="00AD11E7" w:rsidRPr="00F57B2C">
        <w:rPr>
          <w:rFonts w:ascii="Times New Roman" w:eastAsia="Times New Roman" w:hAnsi="Times New Roman" w:cs="Times New Roman"/>
          <w:sz w:val="28"/>
          <w:szCs w:val="28"/>
        </w:rPr>
        <w:t>ВСТУП</w:t>
      </w:r>
    </w:p>
    <w:p w:rsidR="00905936" w:rsidRPr="00F57B2C" w:rsidRDefault="00905936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11E7" w:rsidRPr="00F57B2C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енергозбереження та енергоефективності </w:t>
      </w:r>
      <w:r w:rsidR="006E790C"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енергозбереження та енергоефективності Комишуваської селищної ради на 2018-2020 роки 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Програма) розроблена відповідно до Законів України “Про місцеве самоврядування в Україні”, “Про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енергозбереження” та постанов Кабінету Міністрів України від 01.03.2010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р. №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243 “Про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2010-2016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роки” (із змінами) та від 11.11.2015 р. №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929 “Про продовження строку виконання Державної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2010-2015</w:t>
      </w:r>
      <w:r w:rsidRPr="00F57B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B2C">
        <w:rPr>
          <w:rFonts w:ascii="Times New Roman" w:eastAsia="Times New Roman" w:hAnsi="Times New Roman" w:cs="Times New Roman"/>
          <w:sz w:val="28"/>
          <w:szCs w:val="28"/>
          <w:lang w:val="uk-UA"/>
        </w:rPr>
        <w:t>роки”.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Мета Програми – забезпечення ефективного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паливно-енергети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чних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 у бюджетній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сфері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, сфері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теплопостачання та надання комунальних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послуг, скорочення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 на використання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енергоресурсів, удосконалення системи </w:t>
      </w:r>
      <w:proofErr w:type="spellStart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, підвищення культури енергоспоживання.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містить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організаційних заходів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1) та перелік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енергозберігаючих заходів (додаток 2), виконання яких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спрямоване на забезпечення реалізації в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селищній раді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 у сфері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енергозбереження, вдосконалення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управління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енергозбереженням, спрямованої на підвищення ефективності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паливно-енергетичних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 у бюджетній та комунальній сферах, формування у населення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світогляду, орієнтованого на енергозбереження, отримання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енергозберігаючого, соціального та економічного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ефекту.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 цих заходів сформований на основі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пропозицій виконавчих органів </w:t>
      </w:r>
      <w:proofErr w:type="spellStart"/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, бюджетних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установ, комунальних,  підприємств. Виконання цих заходів дасть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залучити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заощаджені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кошти на покращення стану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господарства, його модернізацію і розвиток, підвищення надійності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енергопостачання, покращення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якості надання комунальних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 і соціально-побутових умов мешканців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передбачає: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1) зменшення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споживання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паливно-енергетичних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 у сфері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теплопостачання, комунальній та бюджетній сферах  за рахунок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стимулювання та впровадження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енергозберігаючих заходів;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2) підвищення надійності систем постачання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енергоносіїв;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3) впровадження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новітніх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 та енергоощадних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4) популяризацію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економічних, екологічних та соціальних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енергозбереження, підвищення управлінського та освітнього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рівнів у цій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сфері;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5) скорочення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видатків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за рахунок реалізації капітальних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у сфері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енергозбереження та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енергоефективності, встановлення контролю за споживанням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енергоносіїв у бюджетній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сфері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6) залучення коштів бюджетів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усіх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рівнів, а також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грантових і кредитних коштів на реалізацію заходів з енергозбереження в бюджетній та комунальній сферах;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7) запровадження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часткового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 та місцевих видів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палива бюджетною та комунальною сферами 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8) постійний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споживання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енергоносіїв у бюджетній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сфері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90C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впровадження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енергозберігаючих заходів.</w:t>
      </w:r>
    </w:p>
    <w:p w:rsidR="002A77C2" w:rsidRPr="00857ED0" w:rsidRDefault="002A77C2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11E7" w:rsidRPr="00857ED0" w:rsidRDefault="002A77C2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ІІІ. </w:t>
      </w:r>
      <w:r w:rsidR="00180DAD" w:rsidRPr="00857E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АНАЛІЗСУЧАСНОГО СТАНУ</w:t>
      </w:r>
      <w:r w:rsidR="00180DAD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 ТА ЕНЕРГОЕФЕКТИВНОСТІКОМИШУВАСЬКОЇ СЕЛИЩНОЇ РАДИ</w:t>
      </w:r>
    </w:p>
    <w:p w:rsidR="002A77C2" w:rsidRPr="00857ED0" w:rsidRDefault="002A77C2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Одними з найбільш гострих проблем України на сучасному етапі її розвитку є проблеми стабільного енергозабезпечення та ефективного використання енергоресурсів, від вирішення яких значною мірою залежить рівень економічного і соціального розвитку суспільства.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Наразі в Україні зростає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вплив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чинників, що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спонукають до енергозбереження: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1) постійне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цін на енергоносії;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2) підвищення адміністративної та економічної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відповідальності за перевитрати;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3) нераціональне та неефективне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паливно-енергетичних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тощо.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 незбалансованого внутрішнього споживання паливно-енергетичних ресурсів має гостро негативні економічні й соціальні наслідки, обмежуючи потенціал підвищення якості життя </w:t>
      </w:r>
      <w:r w:rsidR="002A77C2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мешканців громади.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 на сучасному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етапі – це не просто дбайливе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витрачання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енергії і палива, це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політика, яка бере за основу науковий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 на процеси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виробництва, розподілу та використання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енергії, праці, основних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фондів, сировини та матеріалів.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Світова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тенденція проблем забезпечення в необхідному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обсязі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енергоносіями ставить пріоритетним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щодо зниження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енергоспоживання в усіх сферах – промисловій, житлово-комунальній, бюджетній.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Постійне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дорожчання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паливно-енергетичних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ресурсів, відсутність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енергопостачання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вимагає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особливої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уваги до питань енергозбереження та енергоефективності.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2A77C2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ради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і для багатьох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міст України, характерною є значна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енерговитратність</w:t>
      </w:r>
      <w:proofErr w:type="spellEnd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сфер економіки, комунальної та бюджетної сфер.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причин, які негативно впливають на зниження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енерговитрат, слід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виділити: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1) високий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залежності від імпортного газу, низька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енергії;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2) постійне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енергоресурсів;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3) недостатність коштів у </w:t>
      </w:r>
      <w:r w:rsidR="002A77C2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селищному бю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джеті на впровадження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енергоощадних та енергоефективних заходів у бюджетній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сфері;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4) відсутність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централізованої роботи в напрямі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 та енергоефективності;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 відсутність у </w:t>
      </w:r>
      <w:r w:rsidR="002A77C2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селищній раді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з енергозбереження та брак коштів на розробку проектно-кошторисної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6) неповне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оснащення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 та житлового фонду </w:t>
      </w:r>
      <w:r w:rsidR="002A77C2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засобами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обліку та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споживання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енергоносіїв;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7) недостатній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знань у сфері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 та економії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паливно-енергетичних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 у бюджетній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сфері, в житлово-комунальному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господарстві, в побуті</w:t>
      </w:r>
      <w:r w:rsidR="00636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тощо;</w:t>
      </w:r>
    </w:p>
    <w:p w:rsidR="00AD11E7" w:rsidRPr="00857ED0" w:rsidRDefault="00AD11E7" w:rsidP="00F5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8) відсутність</w:t>
      </w:r>
      <w:r w:rsidR="008A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механізму</w:t>
      </w:r>
      <w:r w:rsidR="008A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стимулювання</w:t>
      </w:r>
      <w:r w:rsidR="008A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керівників, відповідальних</w:t>
      </w:r>
      <w:r w:rsidR="008A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="008A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бюджетних</w:t>
      </w:r>
      <w:r w:rsidR="008A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 до впровадження та реалізації заходів з енергозбереження.</w:t>
      </w:r>
    </w:p>
    <w:p w:rsidR="00912D3A" w:rsidRPr="00857ED0" w:rsidRDefault="00912D3A" w:rsidP="00912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ІV. МЕТА ПРОГРАМИ</w:t>
      </w:r>
    </w:p>
    <w:p w:rsidR="00912D3A" w:rsidRPr="00857ED0" w:rsidRDefault="00912D3A" w:rsidP="0091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2D3A" w:rsidRPr="00857ED0" w:rsidRDefault="00912D3A" w:rsidP="0091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мети Програми енергозбереження та енергоефективності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 2018-2020 роки передбачається шляхом реалізації заходів організаційного та технічного характеру.</w:t>
      </w:r>
    </w:p>
    <w:p w:rsidR="00912D3A" w:rsidRPr="00857ED0" w:rsidRDefault="00912D3A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2D3A" w:rsidRPr="00857ED0" w:rsidRDefault="00912D3A" w:rsidP="00912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V</w:t>
      </w:r>
      <w:r w:rsidR="00AD11E7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ЗАВДАННЯ ПРОГРАМИ</w:t>
      </w:r>
    </w:p>
    <w:p w:rsidR="00912D3A" w:rsidRPr="00857ED0" w:rsidRDefault="00912D3A" w:rsidP="00912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Енергозбереження залишається одним із пріоритетних напрямів діяльності </w:t>
      </w:r>
      <w:proofErr w:type="spellStart"/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щодо ефективного втілення в життя державної політики енергозбереження та енергоефективності.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завданнями Програми   є створення ефективної системи управління енергозбереженням, скорочення витрат енергоресурсів, удосконалення обліку та контролю за їх витратами, втілення комплексу заходів для реалізації потенціалу енергозбереження в бюджетній та житлово-комунальній сферах </w:t>
      </w:r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можливості залучення для цього коштів державного бюджету та інвестиційних коштів, у тому числі грантових.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Загалом, виконання Програми обумовлене загальним соціально-економічним становищем у країні, в тому числі і </w:t>
      </w:r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 селищній раді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недостатністю фінансування з </w:t>
      </w:r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заходів енергозбереження в бюджетній та комунальній сферах </w:t>
      </w:r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Варто зазначити, що впроваджених енергозберігаючих заходів сприяє позитивній тенденція до нарощення обсягів економії паливно-енергетичних ресурсів у </w:t>
      </w:r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селищній раді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Заходами організаційного характеру є: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1) фінансове забезпечення Програми – виявлення внутрішніх джерел фінансування заходів з енергозбереження та пошук інвесторів і кредиторів;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2) проведення пропагандистської діяльності серед споживачів енергоресурсів, молоді, дітей дошкільного віку щодо поширення інформації про ефективне та ощадливе споживання паливно-енергетичних ресурсів;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До заходів технічного характеру належать: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1) модернізація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діючих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переобладнання, реконструкція та технічне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переоснащення;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2) підвищення ефективності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діючих систем теплопостачання – заміна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тепломереж</w:t>
      </w:r>
      <w:r w:rsidR="00912D3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3) продовження практики впровадження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сучасних систем обліку та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споживання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енергоносіїв;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4) утеплення та ущільнення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5) оптимізація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електроспоживання та заміна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традиційних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освітлювальних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приладів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внутрішнього і зовнішнього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сучасними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енергозберігаючими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освітлювальними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приладами;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6) підвищення рівня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раціонального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палива та енергії за рахунок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енергозберігаючих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 і відповідного</w:t>
      </w:r>
      <w:r w:rsidR="003F7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обладнання.</w:t>
      </w:r>
    </w:p>
    <w:p w:rsidR="00172747" w:rsidRPr="00857ED0" w:rsidRDefault="00172747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11E7" w:rsidRPr="00857ED0" w:rsidRDefault="00172747" w:rsidP="008D1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VI</w:t>
      </w:r>
      <w:r w:rsidR="00AD11E7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. ОЧІКУВАНІ РЕЗУЛЬТАТИ, ЕФЕКТИВНІСТЬ ПРОГРАМИ</w:t>
      </w:r>
    </w:p>
    <w:p w:rsidR="0017611A" w:rsidRPr="00857ED0" w:rsidRDefault="0017611A" w:rsidP="00D5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 Позитивний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очікується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 від реалізації всіх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поставлених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 і заходів Програми, які, в основному, передбачають: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 розвиток та вдосконалення системи енергетичного менеджменту в </w:t>
      </w:r>
      <w:r w:rsidR="0017611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селищні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2) зменшення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обсягів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споживання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паливно-енергетичних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 у сфері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теплопостачання, комунальній та бюджетній сферах </w:t>
      </w:r>
      <w:r w:rsidR="0017611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3) проведення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модернізації об’єктів теплопостачання та комунального господарства, впровадження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новітніх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 економію коштів </w:t>
      </w:r>
      <w:r w:rsidR="0017611A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5) залучення коштів бюджетів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усіх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рівнів, кредитних та грантових коштів на реалізацію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і заходів з енергозбереження;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6) формування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орієнтованого на енергоефективність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світогляду громади  на всіх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рівнях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суспільного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життя;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7) застосування</w:t>
      </w:r>
      <w:r w:rsidR="00AE4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механізму</w:t>
      </w:r>
      <w:r w:rsidR="00AE4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відновлювального</w:t>
      </w:r>
      <w:r w:rsidR="00AE4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="00AE43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енергозберігаючих заходів.</w:t>
      </w:r>
    </w:p>
    <w:p w:rsidR="00AD11E7" w:rsidRPr="00857ED0" w:rsidRDefault="00AD11E7" w:rsidP="008D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AD11E7" w:rsidRPr="00857ED0" w:rsidRDefault="0017611A" w:rsidP="0017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VII</w:t>
      </w:r>
      <w:r w:rsidR="00AD11E7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. ОБСЯГИ ТА ДЖЕРЕЛА ФІНАНСУВАННЯ ПРОГРАМИ</w:t>
      </w:r>
    </w:p>
    <w:p w:rsidR="0017611A" w:rsidRPr="00857ED0" w:rsidRDefault="0017611A" w:rsidP="0017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BBB" w:rsidRPr="00857ED0" w:rsidRDefault="00AD11E7" w:rsidP="009B211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Обсяг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Програми </w:t>
      </w:r>
      <w:proofErr w:type="spellStart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уточнюється</w:t>
      </w:r>
      <w:proofErr w:type="spellEnd"/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щороку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формування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211F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 бюджету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відповідний рік у межах видатків, </w:t>
      </w:r>
      <w:r w:rsidR="006E1BD1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ередбачених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1BD1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на цю сфери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і, в разі потреби, </w:t>
      </w:r>
      <w:proofErr w:type="spellStart"/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уточнюються</w:t>
      </w:r>
      <w:proofErr w:type="spellEnd"/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та заходи Програми.</w:t>
      </w:r>
    </w:p>
    <w:p w:rsidR="00E75BBB" w:rsidRPr="00857ED0" w:rsidRDefault="00E75BBB" w:rsidP="009B211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D1D96" w:rsidRPr="00857ED0" w:rsidRDefault="008D1D96" w:rsidP="009B211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D11E7" w:rsidRPr="00857ED0" w:rsidRDefault="00E75BBB" w:rsidP="00E75B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VIII. КОНТРОЛЬ ЗА ХОДОМ РЕАЛІЗАЦІЇ ПРОГРАМИ</w:t>
      </w:r>
    </w:p>
    <w:p w:rsidR="00E75BBB" w:rsidRPr="00857ED0" w:rsidRDefault="00E75BBB" w:rsidP="00E75B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11E7" w:rsidRPr="00857ED0" w:rsidRDefault="00AD11E7" w:rsidP="00E75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Виконавчі органи </w:t>
      </w:r>
      <w:proofErr w:type="spellStart"/>
      <w:r w:rsidR="00E75BBB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E75BBB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ради, підприємства та бюджетні установи, відповідальні за здійснення запланованих заходів,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забезпечують їх реалізацію в повному обсязі та у визначені строки і щоквартально до 15 числа наступного за звітним періодом місяця інформують  відділ</w:t>
      </w:r>
      <w:r w:rsidR="00E75BBB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селищної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про хід їх виконання.</w:t>
      </w:r>
    </w:p>
    <w:p w:rsidR="00E75BBB" w:rsidRPr="00857ED0" w:rsidRDefault="00E75BBB" w:rsidP="00E75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AD11E7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ідділ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 селищної ради</w:t>
      </w:r>
      <w:r w:rsidR="00AD11E7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щоквартально до 25 числа місяця, що настає за звітним періодом, надає узагальнену інформацію про хід виконання Програми постійній комісії з питань ради</w:t>
      </w:r>
      <w:r w:rsid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ED0">
        <w:rPr>
          <w:rFonts w:ascii="Times New Roman" w:hAnsi="Times New Roman" w:cs="Times New Roman"/>
          <w:sz w:val="28"/>
          <w:szCs w:val="28"/>
          <w:lang w:val="uk-UA"/>
        </w:rPr>
        <w:t>містобудування, будівництва, земельних відносин та  охорони природи</w:t>
      </w:r>
      <w:r w:rsidRPr="00857ED0">
        <w:rPr>
          <w:sz w:val="28"/>
          <w:szCs w:val="28"/>
          <w:lang w:val="uk-UA"/>
        </w:rPr>
        <w:t>.</w:t>
      </w:r>
    </w:p>
    <w:p w:rsidR="00AD11E7" w:rsidRPr="00857ED0" w:rsidRDefault="00AD11E7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  <w:r w:rsidRPr="00857ED0">
        <w:rPr>
          <w:rFonts w:ascii="Arial" w:eastAsia="Times New Roman" w:hAnsi="Arial" w:cs="Arial"/>
          <w:sz w:val="21"/>
          <w:szCs w:val="21"/>
          <w:lang w:val="uk-UA"/>
        </w:rPr>
        <w:br w:type="textWrapping" w:clear="all"/>
      </w: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tbl>
      <w:tblPr>
        <w:tblStyle w:val="11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1608" w:rsidRPr="00857ED0" w:rsidTr="00636DF9">
        <w:tc>
          <w:tcPr>
            <w:tcW w:w="4785" w:type="dxa"/>
          </w:tcPr>
          <w:p w:rsidR="009A1608" w:rsidRPr="00857ED0" w:rsidRDefault="009A1608" w:rsidP="009A160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7E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4786" w:type="dxa"/>
          </w:tcPr>
          <w:p w:rsidR="009A1608" w:rsidRPr="00857ED0" w:rsidRDefault="009A1608" w:rsidP="009A16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7E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Н.Г. </w:t>
            </w:r>
            <w:proofErr w:type="spellStart"/>
            <w:r w:rsidRPr="00857E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Заяц</w:t>
            </w:r>
            <w:proofErr w:type="spellEnd"/>
          </w:p>
        </w:tc>
      </w:tr>
    </w:tbl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8D1D96" w:rsidRPr="00857ED0" w:rsidRDefault="008D1D96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6F5B21" w:rsidRPr="00857ED0" w:rsidRDefault="006F5B2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7E7ED3" w:rsidRPr="00857ED0" w:rsidRDefault="007E7ED3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E49A1" w:rsidRPr="00857ED0" w:rsidRDefault="00AE49A1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6E67EE" w:rsidRPr="00857ED0" w:rsidRDefault="006E67EE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6E67EE" w:rsidRPr="00857ED0" w:rsidRDefault="006E67EE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  <w:bookmarkStart w:id="0" w:name="_GoBack"/>
      <w:bookmarkEnd w:id="0"/>
    </w:p>
    <w:p w:rsidR="005D7DEA" w:rsidRPr="00857ED0" w:rsidRDefault="005D7DEA" w:rsidP="00AD11E7">
      <w:pPr>
        <w:rPr>
          <w:rFonts w:ascii="Arial" w:eastAsia="Times New Roman" w:hAnsi="Arial" w:cs="Arial"/>
          <w:sz w:val="21"/>
          <w:szCs w:val="21"/>
          <w:lang w:val="uk-UA"/>
        </w:rPr>
        <w:sectPr w:rsidR="005D7DEA" w:rsidRPr="00857ED0" w:rsidSect="001A5DD3">
          <w:pgSz w:w="11906" w:h="16838"/>
          <w:pgMar w:top="1134" w:right="567" w:bottom="1134" w:left="1701" w:header="113" w:footer="113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E67EE" w:rsidRPr="00857ED0" w:rsidTr="008D1D96">
        <w:tc>
          <w:tcPr>
            <w:tcW w:w="4786" w:type="dxa"/>
          </w:tcPr>
          <w:p w:rsidR="006E67EE" w:rsidRPr="00857ED0" w:rsidRDefault="006E67EE" w:rsidP="00AD11E7">
            <w:pPr>
              <w:rPr>
                <w:rFonts w:ascii="Arial" w:eastAsia="Times New Roman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4785" w:type="dxa"/>
          </w:tcPr>
          <w:p w:rsidR="006E67EE" w:rsidRPr="00857ED0" w:rsidRDefault="006E67EE" w:rsidP="006E67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6E67EE" w:rsidRPr="00857ED0" w:rsidRDefault="006E67EE" w:rsidP="006E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Програми</w:t>
            </w:r>
            <w:r w:rsidR="00C26C9F"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енергозбереження та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енргоефективності</w:t>
            </w:r>
            <w:proofErr w:type="spellEnd"/>
            <w:r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857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селищної ради2018-2020 роки</w:t>
            </w:r>
          </w:p>
          <w:p w:rsidR="006E67EE" w:rsidRPr="00857ED0" w:rsidRDefault="006E67EE" w:rsidP="00AD11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D1D96" w:rsidRPr="00857ED0" w:rsidRDefault="008D1D96" w:rsidP="00AD11E7">
            <w:pPr>
              <w:rPr>
                <w:rFonts w:ascii="Arial" w:eastAsia="Times New Roman" w:hAnsi="Arial" w:cs="Arial"/>
                <w:sz w:val="21"/>
                <w:szCs w:val="21"/>
                <w:lang w:val="uk-UA"/>
              </w:rPr>
            </w:pPr>
          </w:p>
        </w:tc>
      </w:tr>
    </w:tbl>
    <w:p w:rsidR="006E67EE" w:rsidRPr="00857ED0" w:rsidRDefault="006E67EE" w:rsidP="00AD1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</w:p>
    <w:p w:rsidR="00AD11E7" w:rsidRPr="00857ED0" w:rsidRDefault="00AD11E7" w:rsidP="006E67E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ОРГАНІЗАЦІЙНІ ЗАХОДИ ПРОГРАМИ ЕНЕРГОЗБЕРЕЖЕННЯ ТА ЕНЕРГОЕФЕКТИВНОСТІ</w:t>
      </w:r>
      <w:r w:rsidR="00E75BBB"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КОМИШУВАСЬКОЇ СЕЛИЩНОЇ РАДИ НА 2018-2020 РОКИ</w:t>
      </w:r>
      <w:r w:rsidRPr="00857ED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585"/>
        <w:gridCol w:w="1417"/>
        <w:gridCol w:w="1844"/>
        <w:gridCol w:w="1616"/>
        <w:gridCol w:w="1792"/>
      </w:tblGrid>
      <w:tr w:rsidR="00AD11E7" w:rsidRPr="00857ED0" w:rsidTr="003F64D2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Орієнтовний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(тисяч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гривень)</w:t>
            </w:r>
          </w:p>
        </w:tc>
      </w:tr>
    </w:tbl>
    <w:p w:rsidR="00AD11E7" w:rsidRPr="00857ED0" w:rsidRDefault="00AD11E7" w:rsidP="00AD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514"/>
        <w:gridCol w:w="1456"/>
        <w:gridCol w:w="1840"/>
        <w:gridCol w:w="1493"/>
        <w:gridCol w:w="1917"/>
      </w:tblGrid>
      <w:tr w:rsidR="00AD11E7" w:rsidRPr="00857ED0" w:rsidTr="003F64D2">
        <w:trPr>
          <w:tblHeader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8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8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8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8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8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8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та вдосконалення системи енергетичного менеджменту в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F628A8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постійного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моніторингу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споживання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енергоносіїв у бюджетній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сфері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підрозділів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кошторисними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призначеннями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енергетичного аудиту в бюджетних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установах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підрозділів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залучені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кошторисними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призначеннями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Поновлення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енергетичних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паспортів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 та здійснення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інвентаризації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енергоспоживаючого</w:t>
            </w:r>
            <w:proofErr w:type="spellEnd"/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підрозділів</w:t>
            </w:r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ради; керівники</w:t>
            </w:r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підпорядкованихбюджетних</w:t>
            </w:r>
            <w:proofErr w:type="spellEnd"/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F628A8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270,00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переліку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 з низьким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значенням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коефіцієнта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корисної</w:t>
            </w:r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дії, яке під час експлуатації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призводить до перевитрат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паливно-енергетичних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ресурсів, з метою подальшої його заміни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302405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особи виконавчих органів Керівники</w:t>
            </w:r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підпорядкованихбюджетних</w:t>
            </w:r>
            <w:proofErr w:type="spellEnd"/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установ. Комунальні</w:t>
            </w:r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F628A8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та постійне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поновлення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енергозберігаючих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проектів. Пошук та залучення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для впровадження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проектів (кошти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державного бюджету та приватних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інвесторів, донорські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кошти, цільові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кредити і гранти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BB06BF" w:rsidP="003F64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 </w:t>
            </w:r>
            <w:r w:rsidR="00AD11E7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AD11E7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підпорядкованихбюджетних</w:t>
            </w:r>
            <w:proofErr w:type="spellEnd"/>
            <w:r w:rsid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11E7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установ. Залучені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11E7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 та організації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BB06BF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енергетичної ефективності будівель бюджетної сфер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(утеплення фасадів, заміна старих вікон на енергозберігаючі, реконструкція теплових вводів тощо)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виконавчих органів 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та підпорядкованих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установ. Експлуатуючі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організації.</w:t>
            </w:r>
          </w:p>
          <w:p w:rsidR="00AD11E7" w:rsidRPr="00857ED0" w:rsidRDefault="00AD11E7" w:rsidP="003F64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кошторисними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призначеннями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BB26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в бюджетних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установах ламп розжарювання на сучасні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енергозберігаючі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лампи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виконавчих органів </w:t>
            </w:r>
            <w:r w:rsidR="00BB06B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селищної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 та підпорядкованих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бюджетних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кошторисними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призначеннями</w:t>
            </w:r>
          </w:p>
        </w:tc>
      </w:tr>
      <w:tr w:rsidR="00AD11E7" w:rsidRPr="00857ED0" w:rsidTr="003F64D2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BB26E7" w:rsidP="00AD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 з популяризації енергозбереження, які спрямовані на формування в суспільстві свідомого ставлення до необхідності підвищення енергоефективності (проведення днів сталої енергії чи тижнів енергоефективності в місті, видання або закупівля підручників, проведення семінарів, тренінгів, факультативних занять в навчальних закладах,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конкурсів малюнків, фотографій на відповідну тематику тощо) та обмін досвідом у сфері енергозбереження шляхом участі в робочих зустрічах, навчальних семінарах, форумах, конференціях, "круглих столах"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</w:t>
            </w:r>
            <w:r w:rsidR="009176B2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-2020 р</w:t>
            </w:r>
            <w:r w:rsidR="009176B2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26E7" w:rsidRPr="00857ED0" w:rsidRDefault="00BB26E7" w:rsidP="003F64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жтлово</w:t>
            </w:r>
            <w:proofErr w:type="spellEnd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-комунального господарства</w:t>
            </w:r>
          </w:p>
          <w:p w:rsidR="00AD11E7" w:rsidRPr="00857ED0" w:rsidRDefault="00AD11E7" w:rsidP="003F64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виконавчих органів </w:t>
            </w:r>
            <w:r w:rsidR="00BB26E7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та </w:t>
            </w:r>
            <w:proofErr w:type="spellStart"/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підпорядкованихбюджетних</w:t>
            </w:r>
            <w:proofErr w:type="spellEnd"/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установ.</w:t>
            </w:r>
          </w:p>
          <w:p w:rsidR="00AD11E7" w:rsidRPr="00857ED0" w:rsidRDefault="00AD11E7" w:rsidP="003F64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Залучені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1E7" w:rsidRPr="00857ED0" w:rsidRDefault="00AD11E7" w:rsidP="003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кошторисними</w:t>
            </w:r>
            <w:r w:rsidR="00C26C9F"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призначеннями</w:t>
            </w:r>
          </w:p>
        </w:tc>
      </w:tr>
    </w:tbl>
    <w:p w:rsidR="00AD11E7" w:rsidRPr="00857ED0" w:rsidRDefault="00AD11E7" w:rsidP="00AD11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ED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 </w:t>
      </w:r>
    </w:p>
    <w:p w:rsidR="00AD11E7" w:rsidRPr="00857ED0" w:rsidRDefault="00AD11E7" w:rsidP="00AD11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ED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1259AE" w:rsidRPr="00857ED0" w:rsidRDefault="00AD11E7" w:rsidP="00AD11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ED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Style w:val="1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59AE" w:rsidRPr="00857ED0" w:rsidTr="00636DF9">
        <w:tc>
          <w:tcPr>
            <w:tcW w:w="4785" w:type="dxa"/>
          </w:tcPr>
          <w:p w:rsidR="001259AE" w:rsidRPr="00857ED0" w:rsidRDefault="001259AE" w:rsidP="001259A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7E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4786" w:type="dxa"/>
          </w:tcPr>
          <w:p w:rsidR="001259AE" w:rsidRPr="00857ED0" w:rsidRDefault="001259AE" w:rsidP="001259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7E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Н.Г. </w:t>
            </w:r>
            <w:proofErr w:type="spellStart"/>
            <w:r w:rsidRPr="00857E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Заяц</w:t>
            </w:r>
            <w:proofErr w:type="spellEnd"/>
          </w:p>
        </w:tc>
      </w:tr>
    </w:tbl>
    <w:p w:rsidR="00AD11E7" w:rsidRPr="00857ED0" w:rsidRDefault="00AD11E7" w:rsidP="00AD11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1C5B" w:rsidRPr="00857ED0" w:rsidRDefault="000C1C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439D" w:rsidRPr="00857ED0" w:rsidRDefault="0029439D">
      <w:pPr>
        <w:rPr>
          <w:rFonts w:ascii="Times New Roman" w:hAnsi="Times New Roman" w:cs="Times New Roman"/>
          <w:sz w:val="28"/>
          <w:szCs w:val="28"/>
          <w:lang w:val="uk-UA"/>
        </w:rPr>
        <w:sectPr w:rsidR="0029439D" w:rsidRPr="00857ED0" w:rsidSect="005D7DEA">
          <w:headerReference w:type="default" r:id="rId9"/>
          <w:pgSz w:w="11906" w:h="16838"/>
          <w:pgMar w:top="1134" w:right="567" w:bottom="1134" w:left="1701" w:header="113" w:footer="113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30374D" w:rsidRPr="00857ED0" w:rsidTr="0030374D">
        <w:tc>
          <w:tcPr>
            <w:tcW w:w="8472" w:type="dxa"/>
          </w:tcPr>
          <w:p w:rsidR="0030374D" w:rsidRPr="00857ED0" w:rsidRDefault="0030374D" w:rsidP="00B35B58">
            <w:pPr>
              <w:jc w:val="center"/>
              <w:rPr>
                <w:rStyle w:val="a8"/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6314" w:type="dxa"/>
          </w:tcPr>
          <w:p w:rsidR="0030374D" w:rsidRPr="00857ED0" w:rsidRDefault="0030374D" w:rsidP="0030374D">
            <w:pPr>
              <w:shd w:val="clear" w:color="auto" w:fill="FFFFFF"/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857ED0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Додаток 2</w:t>
            </w:r>
          </w:p>
          <w:p w:rsidR="0030374D" w:rsidRPr="00857ED0" w:rsidRDefault="0030374D" w:rsidP="0030374D">
            <w:pPr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857ED0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до Програми    енергозбереження    та      </w:t>
            </w:r>
            <w:proofErr w:type="spellStart"/>
            <w:r w:rsidRPr="00857ED0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енргоефективності</w:t>
            </w:r>
            <w:proofErr w:type="spellEnd"/>
            <w:r w:rsidRPr="00857ED0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7ED0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857ED0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селищної ради 2018-2020 роки</w:t>
            </w:r>
          </w:p>
          <w:p w:rsidR="0030374D" w:rsidRPr="00857ED0" w:rsidRDefault="0030374D" w:rsidP="00B35B58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29439D" w:rsidRPr="00857ED0" w:rsidRDefault="00D772FA" w:rsidP="00B35B58">
      <w:pPr>
        <w:jc w:val="center"/>
        <w:rPr>
          <w:sz w:val="28"/>
          <w:szCs w:val="28"/>
          <w:lang w:val="uk-UA"/>
        </w:rPr>
      </w:pPr>
      <w:r w:rsidRPr="00857ED0">
        <w:rPr>
          <w:rFonts w:ascii="Times New Roman" w:hAnsi="Times New Roman" w:cs="Times New Roman"/>
          <w:bCs/>
          <w:sz w:val="28"/>
          <w:szCs w:val="28"/>
          <w:lang w:val="uk-UA"/>
        </w:rPr>
        <w:t>ПРОЕКТИ ЕНЕРГОЗБЕРИГАЮЧИХ ЗАХОДІВ</w:t>
      </w:r>
      <w:r w:rsidR="006E67EE" w:rsidRPr="00857E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БЮДЖЕТНИХ ЗАХОДІВ ПО КОМИШУВАСЬКОЇ РАДИ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134"/>
        <w:gridCol w:w="1418"/>
        <w:gridCol w:w="1275"/>
        <w:gridCol w:w="709"/>
        <w:gridCol w:w="709"/>
        <w:gridCol w:w="709"/>
        <w:gridCol w:w="1138"/>
        <w:gridCol w:w="1413"/>
        <w:gridCol w:w="1134"/>
        <w:gridCol w:w="1418"/>
      </w:tblGrid>
      <w:tr w:rsidR="00B35B58" w:rsidRPr="00857ED0" w:rsidTr="00B35B58">
        <w:trPr>
          <w:trHeight w:val="435"/>
        </w:trPr>
        <w:tc>
          <w:tcPr>
            <w:tcW w:w="534" w:type="dxa"/>
            <w:vMerge w:val="restart"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color w:val="auto"/>
                <w:sz w:val="22"/>
                <w:szCs w:val="22"/>
                <w:lang w:val="uk-UA"/>
              </w:rPr>
              <w:t>№</w:t>
            </w:r>
          </w:p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ED0">
              <w:rPr>
                <w:rFonts w:ascii="Times New Roman" w:hAnsi="Times New Roman" w:cs="Times New Roman"/>
                <w:bCs/>
                <w:lang w:val="uk-UA"/>
              </w:rPr>
              <w:t>з/п</w:t>
            </w:r>
          </w:p>
        </w:tc>
        <w:tc>
          <w:tcPr>
            <w:tcW w:w="1842" w:type="dxa"/>
            <w:vMerge w:val="restart"/>
            <w:vAlign w:val="center"/>
          </w:tcPr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ED0">
              <w:rPr>
                <w:rFonts w:ascii="Times New Roman" w:hAnsi="Times New Roman" w:cs="Times New Roman"/>
                <w:bCs/>
                <w:lang w:val="uk-UA"/>
              </w:rPr>
              <w:t>Назва проекту, заходу</w:t>
            </w:r>
          </w:p>
        </w:tc>
        <w:tc>
          <w:tcPr>
            <w:tcW w:w="1276" w:type="dxa"/>
            <w:vMerge w:val="restart"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Місце</w:t>
            </w:r>
          </w:p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ED0">
              <w:rPr>
                <w:rFonts w:ascii="Times New Roman" w:hAnsi="Times New Roman" w:cs="Times New Roman"/>
                <w:bCs/>
                <w:lang w:val="uk-UA"/>
              </w:rPr>
              <w:t>впровадження</w:t>
            </w:r>
          </w:p>
        </w:tc>
        <w:tc>
          <w:tcPr>
            <w:tcW w:w="1134" w:type="dxa"/>
            <w:vMerge w:val="restart"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Термін</w:t>
            </w:r>
          </w:p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ED0">
              <w:rPr>
                <w:rFonts w:ascii="Times New Roman" w:hAnsi="Times New Roman" w:cs="Times New Roman"/>
                <w:bCs/>
                <w:lang w:val="uk-UA"/>
              </w:rPr>
              <w:t>виконання</w:t>
            </w:r>
          </w:p>
        </w:tc>
        <w:tc>
          <w:tcPr>
            <w:tcW w:w="1418" w:type="dxa"/>
            <w:vMerge w:val="restart"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Відповідальний за впровадження проекту,</w:t>
            </w:r>
          </w:p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ED0">
              <w:rPr>
                <w:rFonts w:ascii="Times New Roman" w:hAnsi="Times New Roman" w:cs="Times New Roman"/>
                <w:bCs/>
                <w:lang w:val="uk-UA"/>
              </w:rPr>
              <w:t>заходу</w:t>
            </w:r>
          </w:p>
        </w:tc>
        <w:tc>
          <w:tcPr>
            <w:tcW w:w="1275" w:type="dxa"/>
            <w:vMerge w:val="restart"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Джерела</w:t>
            </w:r>
          </w:p>
          <w:p w:rsidR="00B35B58" w:rsidRPr="00857ED0" w:rsidRDefault="00B35B58" w:rsidP="009658AD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фінансу</w:t>
            </w:r>
            <w:proofErr w:type="spellEnd"/>
          </w:p>
          <w:p w:rsidR="00B35B58" w:rsidRPr="00857ED0" w:rsidRDefault="00B35B58" w:rsidP="009658AD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вання</w:t>
            </w:r>
            <w:proofErr w:type="spellEnd"/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,</w:t>
            </w:r>
          </w:p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ED0">
              <w:rPr>
                <w:rFonts w:ascii="Times New Roman" w:hAnsi="Times New Roman" w:cs="Times New Roman"/>
                <w:bCs/>
                <w:lang w:val="uk-UA"/>
              </w:rPr>
              <w:t>тис.грн</w:t>
            </w:r>
            <w:proofErr w:type="spellEnd"/>
            <w:r w:rsidRPr="00857ED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ED0">
              <w:rPr>
                <w:rFonts w:ascii="Times New Roman" w:hAnsi="Times New Roman" w:cs="Times New Roman"/>
                <w:bCs/>
                <w:lang w:val="uk-UA"/>
              </w:rPr>
              <w:t>Обсяги</w:t>
            </w:r>
            <w:r w:rsidR="00C26C9F" w:rsidRPr="00857ED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57ED0">
              <w:rPr>
                <w:rFonts w:ascii="Times New Roman" w:hAnsi="Times New Roman" w:cs="Times New Roman"/>
                <w:bCs/>
                <w:lang w:val="uk-UA"/>
              </w:rPr>
              <w:t xml:space="preserve">фінансування по роках, </w:t>
            </w:r>
            <w:proofErr w:type="spellStart"/>
            <w:r w:rsidRPr="00857ED0">
              <w:rPr>
                <w:rFonts w:ascii="Times New Roman" w:hAnsi="Times New Roman" w:cs="Times New Roman"/>
                <w:bCs/>
                <w:lang w:val="uk-UA"/>
              </w:rPr>
              <w:t>тис.грн</w:t>
            </w:r>
            <w:proofErr w:type="spellEnd"/>
            <w:r w:rsidRPr="00857ED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58" w:rsidRPr="00857ED0" w:rsidRDefault="00B35B58" w:rsidP="009658AD">
            <w:pPr>
              <w:pStyle w:val="Default"/>
              <w:ind w:left="-108" w:right="-108"/>
              <w:jc w:val="center"/>
              <w:rPr>
                <w:color w:val="auto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Загальний</w:t>
            </w:r>
            <w:r w:rsidR="00C26C9F" w:rsidRPr="00857ED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обсяг</w:t>
            </w:r>
            <w:r w:rsidR="00C26C9F" w:rsidRPr="00857ED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 xml:space="preserve">фінансування, </w:t>
            </w:r>
            <w:proofErr w:type="spellStart"/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тнс.грн</w:t>
            </w:r>
            <w:proofErr w:type="spellEnd"/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:rsidR="00B35B58" w:rsidRPr="00857ED0" w:rsidRDefault="00B35B58" w:rsidP="00C26C9F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Розрахун</w:t>
            </w:r>
            <w:r w:rsidR="00C26C9F" w:rsidRPr="00857ED0">
              <w:rPr>
                <w:color w:val="auto"/>
                <w:sz w:val="23"/>
                <w:szCs w:val="23"/>
                <w:lang w:val="uk-UA"/>
              </w:rPr>
              <w:t>к</w:t>
            </w: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овий</w:t>
            </w:r>
            <w:r w:rsidR="00C26C9F" w:rsidRPr="00857ED0">
              <w:rPr>
                <w:bCs/>
                <w:color w:val="auto"/>
                <w:sz w:val="23"/>
                <w:szCs w:val="23"/>
                <w:lang w:val="uk-UA"/>
              </w:rPr>
              <w:t xml:space="preserve"> </w:t>
            </w: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економіч</w:t>
            </w:r>
            <w:r w:rsidR="00C26C9F" w:rsidRPr="00857ED0">
              <w:rPr>
                <w:color w:val="auto"/>
                <w:sz w:val="23"/>
                <w:szCs w:val="23"/>
                <w:lang w:val="uk-UA"/>
              </w:rPr>
              <w:t>н</w:t>
            </w: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ий</w:t>
            </w:r>
            <w:r w:rsidR="00C26C9F" w:rsidRPr="00857ED0">
              <w:rPr>
                <w:bCs/>
                <w:color w:val="auto"/>
                <w:sz w:val="23"/>
                <w:szCs w:val="23"/>
                <w:lang w:val="uk-UA"/>
              </w:rPr>
              <w:t xml:space="preserve"> </w:t>
            </w: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 xml:space="preserve">ефект від </w:t>
            </w:r>
            <w:proofErr w:type="spellStart"/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запровад</w:t>
            </w:r>
            <w:proofErr w:type="spellEnd"/>
          </w:p>
          <w:p w:rsidR="00B35B58" w:rsidRPr="00857ED0" w:rsidRDefault="00B35B58" w:rsidP="009658AD">
            <w:pPr>
              <w:pStyle w:val="Default"/>
              <w:ind w:left="-108" w:right="-108"/>
              <w:jc w:val="center"/>
              <w:rPr>
                <w:color w:val="auto"/>
                <w:lang w:val="uk-UA"/>
              </w:rPr>
            </w:pPr>
            <w:proofErr w:type="spellStart"/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ження</w:t>
            </w:r>
            <w:proofErr w:type="spellEnd"/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 xml:space="preserve"> заходу, </w:t>
            </w:r>
            <w:proofErr w:type="spellStart"/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тис.грн</w:t>
            </w:r>
            <w:proofErr w:type="spellEnd"/>
            <w:r w:rsidRPr="00857ED0">
              <w:rPr>
                <w:rFonts w:ascii="Tahoma" w:hAnsi="Tahoma" w:cs="Tahoma"/>
                <w:bCs/>
                <w:color w:val="auto"/>
                <w:sz w:val="23"/>
                <w:szCs w:val="23"/>
                <w:lang w:val="uk-U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B35B58" w:rsidRPr="00857ED0" w:rsidRDefault="00B35B58" w:rsidP="00C26C9F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Термін окупності</w:t>
            </w:r>
            <w:r w:rsidR="00C26C9F" w:rsidRPr="00857ED0">
              <w:rPr>
                <w:bCs/>
                <w:color w:val="auto"/>
                <w:sz w:val="23"/>
                <w:szCs w:val="23"/>
                <w:lang w:val="uk-UA"/>
              </w:rPr>
              <w:t xml:space="preserve"> </w:t>
            </w: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прое</w:t>
            </w:r>
            <w:r w:rsidR="00C26C9F" w:rsidRPr="00857ED0">
              <w:rPr>
                <w:bCs/>
                <w:color w:val="auto"/>
                <w:sz w:val="23"/>
                <w:szCs w:val="23"/>
                <w:lang w:val="uk-UA"/>
              </w:rPr>
              <w:t>к</w:t>
            </w:r>
            <w:r w:rsidRPr="00857ED0">
              <w:rPr>
                <w:bCs/>
                <w:sz w:val="23"/>
                <w:szCs w:val="23"/>
                <w:lang w:val="uk-UA"/>
              </w:rPr>
              <w:t>ту</w:t>
            </w:r>
          </w:p>
        </w:tc>
        <w:tc>
          <w:tcPr>
            <w:tcW w:w="1418" w:type="dxa"/>
            <w:vMerge w:val="restart"/>
            <w:vAlign w:val="center"/>
          </w:tcPr>
          <w:p w:rsidR="00B35B58" w:rsidRPr="00857ED0" w:rsidRDefault="00B35B58" w:rsidP="00D772FA">
            <w:pPr>
              <w:pStyle w:val="Default"/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Економія</w:t>
            </w:r>
            <w:r w:rsidR="00C26C9F" w:rsidRPr="00857ED0">
              <w:rPr>
                <w:bCs/>
                <w:color w:val="auto"/>
                <w:sz w:val="23"/>
                <w:szCs w:val="23"/>
                <w:lang w:val="uk-UA"/>
              </w:rPr>
              <w:t xml:space="preserve"> </w:t>
            </w:r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паливно-</w:t>
            </w:r>
            <w:proofErr w:type="spellStart"/>
            <w:r w:rsidRPr="00857ED0">
              <w:rPr>
                <w:bCs/>
                <w:color w:val="auto"/>
                <w:sz w:val="23"/>
                <w:szCs w:val="23"/>
                <w:lang w:val="uk-UA"/>
              </w:rPr>
              <w:t>енергетич</w:t>
            </w:r>
            <w:proofErr w:type="spellEnd"/>
          </w:p>
          <w:p w:rsidR="00B35B58" w:rsidRPr="00857ED0" w:rsidRDefault="00B35B58" w:rsidP="00D77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ного ресурсу (</w:t>
            </w:r>
            <w:proofErr w:type="spellStart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куб.м</w:t>
            </w:r>
            <w:proofErr w:type="spellEnd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, кВт* год, </w:t>
            </w:r>
            <w:proofErr w:type="spellStart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Гкал</w:t>
            </w:r>
            <w:proofErr w:type="spellEnd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тонн</w:t>
            </w:r>
            <w:proofErr w:type="spellEnd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у.п</w:t>
            </w:r>
            <w:proofErr w:type="spellEnd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., </w:t>
            </w:r>
            <w:proofErr w:type="spellStart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тонн</w:t>
            </w:r>
            <w:proofErr w:type="spellEnd"/>
            <w:r w:rsidRPr="00857ED0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)</w:t>
            </w:r>
          </w:p>
        </w:tc>
      </w:tr>
      <w:tr w:rsidR="00B35B58" w:rsidRPr="00857ED0" w:rsidTr="00B35B58">
        <w:trPr>
          <w:trHeight w:val="1215"/>
        </w:trPr>
        <w:tc>
          <w:tcPr>
            <w:tcW w:w="534" w:type="dxa"/>
            <w:vMerge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B35B58" w:rsidRPr="00857ED0" w:rsidRDefault="00B35B58" w:rsidP="009658A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5B58" w:rsidRPr="00857ED0" w:rsidRDefault="00B35B58" w:rsidP="00B35B58">
            <w:pPr>
              <w:pStyle w:val="Default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5B58" w:rsidRPr="00857ED0" w:rsidRDefault="00B35B58" w:rsidP="00B35B58">
            <w:pPr>
              <w:pStyle w:val="Default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5B58" w:rsidRPr="00857ED0" w:rsidRDefault="00B35B58" w:rsidP="00B35B58">
            <w:pPr>
              <w:pStyle w:val="Default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58" w:rsidRPr="00857ED0" w:rsidRDefault="00B35B58" w:rsidP="009658AD">
            <w:pPr>
              <w:pStyle w:val="Default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B35B58" w:rsidRPr="00857ED0" w:rsidRDefault="00B35B58" w:rsidP="009658AD">
            <w:pPr>
              <w:pStyle w:val="Default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B35B58" w:rsidRPr="00857ED0" w:rsidRDefault="00B35B58" w:rsidP="00965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8AD" w:rsidRPr="00857ED0" w:rsidTr="00B35B58">
        <w:tc>
          <w:tcPr>
            <w:tcW w:w="534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138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413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9658AD" w:rsidRPr="00857ED0" w:rsidRDefault="009658AD" w:rsidP="009658A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57ED0">
              <w:rPr>
                <w:bCs/>
                <w:color w:val="auto"/>
                <w:sz w:val="22"/>
                <w:szCs w:val="22"/>
                <w:lang w:val="uk-UA"/>
              </w:rPr>
              <w:t>13</w:t>
            </w:r>
          </w:p>
        </w:tc>
      </w:tr>
      <w:tr w:rsidR="00B35B58" w:rsidRPr="00857ED0" w:rsidTr="00B35B58">
        <w:tc>
          <w:tcPr>
            <w:tcW w:w="534" w:type="dxa"/>
            <w:vMerge w:val="restart"/>
          </w:tcPr>
          <w:p w:rsidR="00B35B58" w:rsidRPr="00857ED0" w:rsidRDefault="006A6899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vMerge w:val="restart"/>
          </w:tcPr>
          <w:p w:rsidR="00B35B58" w:rsidRPr="00857ED0" w:rsidRDefault="006A6899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головної будівлі КЗ «Навчально-виховний </w:t>
            </w:r>
            <w:proofErr w:type="spellStart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коплекс</w:t>
            </w:r>
            <w:proofErr w:type="spellEnd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«Джерело» за </w:t>
            </w:r>
            <w:proofErr w:type="spellStart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AE43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Оріхівський</w:t>
            </w:r>
            <w:proofErr w:type="spellEnd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</w:t>
            </w:r>
            <w:r w:rsidR="00AE43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Запорізька область, смт </w:t>
            </w:r>
            <w:proofErr w:type="spellStart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Комишуваха</w:t>
            </w:r>
            <w:proofErr w:type="spellEnd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</w:t>
            </w:r>
            <w:r w:rsidR="00AE43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Шкільна,2»</w:t>
            </w:r>
          </w:p>
        </w:tc>
        <w:tc>
          <w:tcPr>
            <w:tcW w:w="1276" w:type="dxa"/>
            <w:vMerge w:val="restart"/>
          </w:tcPr>
          <w:p w:rsidR="00AE4321" w:rsidRDefault="00AE4321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6A6899"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мт </w:t>
            </w:r>
            <w:proofErr w:type="spellStart"/>
            <w:r w:rsidR="006A6899"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Комишуваха</w:t>
            </w:r>
            <w:proofErr w:type="spellEnd"/>
          </w:p>
          <w:p w:rsidR="00B35B58" w:rsidRPr="00857ED0" w:rsidRDefault="006A6899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Шкільна, 2</w:t>
            </w:r>
          </w:p>
        </w:tc>
        <w:tc>
          <w:tcPr>
            <w:tcW w:w="1134" w:type="dxa"/>
            <w:vMerge w:val="restart"/>
          </w:tcPr>
          <w:p w:rsidR="00B35B58" w:rsidRPr="00857ED0" w:rsidRDefault="006A6899" w:rsidP="006A68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 місяця</w:t>
            </w:r>
          </w:p>
        </w:tc>
        <w:tc>
          <w:tcPr>
            <w:tcW w:w="1418" w:type="dxa"/>
            <w:vMerge w:val="restart"/>
          </w:tcPr>
          <w:p w:rsidR="00B35B58" w:rsidRPr="00857ED0" w:rsidRDefault="006A6899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голови з питань діяльності виконавчих органів </w:t>
            </w:r>
            <w:proofErr w:type="spellStart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Заяц</w:t>
            </w:r>
            <w:proofErr w:type="spellEnd"/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Н.Г.</w:t>
            </w: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</w:t>
            </w:r>
          </w:p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6A6899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5138,700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 w:val="restart"/>
          </w:tcPr>
          <w:p w:rsidR="00B35B58" w:rsidRPr="00857ED0" w:rsidRDefault="006A6899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180001,634</w:t>
            </w:r>
          </w:p>
        </w:tc>
        <w:tc>
          <w:tcPr>
            <w:tcW w:w="1413" w:type="dxa"/>
            <w:vMerge w:val="restart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B35B58">
        <w:tc>
          <w:tcPr>
            <w:tcW w:w="5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</w:t>
            </w:r>
          </w:p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B35B58">
        <w:tc>
          <w:tcPr>
            <w:tcW w:w="5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</w:t>
            </w:r>
          </w:p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6A6899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1348,318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B35B58">
        <w:tc>
          <w:tcPr>
            <w:tcW w:w="5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кредити, позики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B35B58">
        <w:tc>
          <w:tcPr>
            <w:tcW w:w="5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гранти тощо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B35B58">
        <w:tc>
          <w:tcPr>
            <w:tcW w:w="5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B35B58">
        <w:tc>
          <w:tcPr>
            <w:tcW w:w="5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B35B58">
        <w:tc>
          <w:tcPr>
            <w:tcW w:w="5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B35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кредити, позики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гранти тощо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кредити, позики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гранти тощо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</w:t>
            </w:r>
          </w:p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кредити, позики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гранти тощо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B58" w:rsidRPr="00857ED0" w:rsidTr="00D772FA">
        <w:tc>
          <w:tcPr>
            <w:tcW w:w="5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E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B35B58" w:rsidRPr="00857ED0" w:rsidRDefault="00B35B58" w:rsidP="00D772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Style w:val="13"/>
        <w:tblpPr w:leftFromText="180" w:rightFromText="180" w:vertAnchor="text" w:horzAnchor="margin" w:tblpY="4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2"/>
        <w:gridCol w:w="2140"/>
      </w:tblGrid>
      <w:tr w:rsidR="007553A1" w:rsidRPr="00857ED0" w:rsidTr="007553A1">
        <w:trPr>
          <w:trHeight w:val="286"/>
        </w:trPr>
        <w:tc>
          <w:tcPr>
            <w:tcW w:w="11292" w:type="dxa"/>
          </w:tcPr>
          <w:p w:rsidR="007553A1" w:rsidRPr="00857ED0" w:rsidRDefault="007553A1" w:rsidP="007553A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57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селищного голови з </w:t>
            </w:r>
            <w:proofErr w:type="spellStart"/>
            <w:r w:rsidRPr="00857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питаньдіяльності</w:t>
            </w:r>
            <w:proofErr w:type="spellEnd"/>
            <w:r w:rsidRPr="00857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виконавчих органів</w:t>
            </w:r>
          </w:p>
        </w:tc>
        <w:tc>
          <w:tcPr>
            <w:tcW w:w="2140" w:type="dxa"/>
          </w:tcPr>
          <w:p w:rsidR="007553A1" w:rsidRPr="00857ED0" w:rsidRDefault="007553A1" w:rsidP="007553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57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Н.Г. </w:t>
            </w:r>
            <w:proofErr w:type="spellStart"/>
            <w:r w:rsidRPr="00857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Заяц</w:t>
            </w:r>
            <w:proofErr w:type="spellEnd"/>
          </w:p>
        </w:tc>
      </w:tr>
    </w:tbl>
    <w:p w:rsidR="00B35B58" w:rsidRPr="00F57B2C" w:rsidRDefault="00B35B58" w:rsidP="00B35B58">
      <w:pPr>
        <w:jc w:val="both"/>
        <w:rPr>
          <w:lang w:val="uk-UA"/>
        </w:rPr>
      </w:pPr>
    </w:p>
    <w:sectPr w:rsidR="00B35B58" w:rsidRPr="00F57B2C" w:rsidSect="005D7DEA">
      <w:head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F9" w:rsidRDefault="00636DF9" w:rsidP="003F64D2">
      <w:pPr>
        <w:spacing w:after="0" w:line="240" w:lineRule="auto"/>
      </w:pPr>
      <w:r>
        <w:separator/>
      </w:r>
    </w:p>
  </w:endnote>
  <w:endnote w:type="continuationSeparator" w:id="0">
    <w:p w:rsidR="00636DF9" w:rsidRDefault="00636DF9" w:rsidP="003F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F9" w:rsidRDefault="00636DF9" w:rsidP="003F64D2">
      <w:pPr>
        <w:spacing w:after="0" w:line="240" w:lineRule="auto"/>
      </w:pPr>
      <w:r>
        <w:separator/>
      </w:r>
    </w:p>
  </w:footnote>
  <w:footnote w:type="continuationSeparator" w:id="0">
    <w:p w:rsidR="00636DF9" w:rsidRDefault="00636DF9" w:rsidP="003F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F9" w:rsidRPr="005D7DEA" w:rsidRDefault="00636DF9" w:rsidP="005D7DEA">
    <w:pPr>
      <w:pStyle w:val="a9"/>
      <w:jc w:val="right"/>
      <w:rPr>
        <w:rFonts w:ascii="Times New Roman" w:hAnsi="Times New Roman" w:cs="Times New Roman"/>
        <w:sz w:val="24"/>
        <w:szCs w:val="24"/>
        <w:lang w:val="uk-UA"/>
      </w:rPr>
    </w:pPr>
    <w:r w:rsidRPr="005D7DEA">
      <w:rPr>
        <w:rFonts w:ascii="Times New Roman" w:hAnsi="Times New Roman" w:cs="Times New Roman"/>
        <w:sz w:val="24"/>
        <w:szCs w:val="24"/>
        <w:lang w:val="uk-UA"/>
      </w:rPr>
      <w:t>Продовження додатку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F9" w:rsidRPr="00F57B2C" w:rsidRDefault="00636DF9" w:rsidP="007F032A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val="uk-UA"/>
      </w:rPr>
    </w:pPr>
    <w:r>
      <w:rPr>
        <w:rFonts w:ascii="Times New Roman" w:eastAsia="Times New Roman" w:hAnsi="Times New Roman" w:cs="Times New Roman"/>
        <w:sz w:val="28"/>
        <w:szCs w:val="28"/>
        <w:lang w:val="uk-UA"/>
      </w:rPr>
      <w:t>Продовження додатку 2</w:t>
    </w:r>
  </w:p>
  <w:p w:rsidR="00636DF9" w:rsidRPr="00AE49A1" w:rsidRDefault="00636DF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C8F"/>
    <w:multiLevelType w:val="hybridMultilevel"/>
    <w:tmpl w:val="391C398C"/>
    <w:lvl w:ilvl="0" w:tplc="2CE47B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EC5343"/>
    <w:multiLevelType w:val="hybridMultilevel"/>
    <w:tmpl w:val="C814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1E7"/>
    <w:rsid w:val="00016614"/>
    <w:rsid w:val="00035A36"/>
    <w:rsid w:val="00057CE5"/>
    <w:rsid w:val="000C1C5B"/>
    <w:rsid w:val="000F5CB4"/>
    <w:rsid w:val="001259AE"/>
    <w:rsid w:val="00172747"/>
    <w:rsid w:val="0017611A"/>
    <w:rsid w:val="00180DAD"/>
    <w:rsid w:val="001A3E4F"/>
    <w:rsid w:val="001A5DD3"/>
    <w:rsid w:val="001B0A1E"/>
    <w:rsid w:val="001B3587"/>
    <w:rsid w:val="0029439D"/>
    <w:rsid w:val="002A77C2"/>
    <w:rsid w:val="00302405"/>
    <w:rsid w:val="0030374D"/>
    <w:rsid w:val="00320ED0"/>
    <w:rsid w:val="00334DD8"/>
    <w:rsid w:val="003F64D2"/>
    <w:rsid w:val="003F7D0E"/>
    <w:rsid w:val="0045250D"/>
    <w:rsid w:val="004A6393"/>
    <w:rsid w:val="004B6D35"/>
    <w:rsid w:val="005232CB"/>
    <w:rsid w:val="00552883"/>
    <w:rsid w:val="005B381B"/>
    <w:rsid w:val="005D7DEA"/>
    <w:rsid w:val="00636DF9"/>
    <w:rsid w:val="006A6899"/>
    <w:rsid w:val="006C18A2"/>
    <w:rsid w:val="006E1BD1"/>
    <w:rsid w:val="006E67EE"/>
    <w:rsid w:val="006E7691"/>
    <w:rsid w:val="006E790C"/>
    <w:rsid w:val="006F5B21"/>
    <w:rsid w:val="00715F6A"/>
    <w:rsid w:val="007553A1"/>
    <w:rsid w:val="00760A5C"/>
    <w:rsid w:val="007B460A"/>
    <w:rsid w:val="007D4C07"/>
    <w:rsid w:val="007E7ED3"/>
    <w:rsid w:val="007F032A"/>
    <w:rsid w:val="00811FFA"/>
    <w:rsid w:val="00857ED0"/>
    <w:rsid w:val="00865AB4"/>
    <w:rsid w:val="008A1E61"/>
    <w:rsid w:val="008A3A92"/>
    <w:rsid w:val="008D1D96"/>
    <w:rsid w:val="00905936"/>
    <w:rsid w:val="00912D3A"/>
    <w:rsid w:val="009176B2"/>
    <w:rsid w:val="00925DEE"/>
    <w:rsid w:val="00930DB9"/>
    <w:rsid w:val="009447BE"/>
    <w:rsid w:val="009658AD"/>
    <w:rsid w:val="009A152C"/>
    <w:rsid w:val="009A1608"/>
    <w:rsid w:val="009A418B"/>
    <w:rsid w:val="009B211F"/>
    <w:rsid w:val="00A22EB9"/>
    <w:rsid w:val="00A93E0D"/>
    <w:rsid w:val="00AD11E7"/>
    <w:rsid w:val="00AE1CB3"/>
    <w:rsid w:val="00AE4321"/>
    <w:rsid w:val="00AE49A1"/>
    <w:rsid w:val="00B35B58"/>
    <w:rsid w:val="00B65033"/>
    <w:rsid w:val="00BA6744"/>
    <w:rsid w:val="00BB06BF"/>
    <w:rsid w:val="00BB26E7"/>
    <w:rsid w:val="00BD2883"/>
    <w:rsid w:val="00C26C9F"/>
    <w:rsid w:val="00C37E54"/>
    <w:rsid w:val="00C81D69"/>
    <w:rsid w:val="00C92262"/>
    <w:rsid w:val="00CC6F61"/>
    <w:rsid w:val="00D55925"/>
    <w:rsid w:val="00D772FA"/>
    <w:rsid w:val="00DC71E9"/>
    <w:rsid w:val="00E41A39"/>
    <w:rsid w:val="00E75BBB"/>
    <w:rsid w:val="00EC2320"/>
    <w:rsid w:val="00ED4DAA"/>
    <w:rsid w:val="00F57B2C"/>
    <w:rsid w:val="00F60CF0"/>
    <w:rsid w:val="00F611EE"/>
    <w:rsid w:val="00F628A8"/>
    <w:rsid w:val="00FA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FB239A"/>
  <w15:docId w15:val="{55C11522-CC70-4FDA-A313-6164C37E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6503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ubtle Emphasis"/>
    <w:basedOn w:val="a0"/>
    <w:uiPriority w:val="19"/>
    <w:qFormat/>
    <w:rsid w:val="006A6899"/>
    <w:rPr>
      <w:i/>
      <w:iCs/>
      <w:color w:val="808080" w:themeColor="text1" w:themeTint="7F"/>
    </w:rPr>
  </w:style>
  <w:style w:type="table" w:customStyle="1" w:styleId="1">
    <w:name w:val="Сетка таблицы1"/>
    <w:basedOn w:val="a1"/>
    <w:next w:val="a5"/>
    <w:uiPriority w:val="59"/>
    <w:rsid w:val="008A3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39"/>
    <w:rsid w:val="009A1608"/>
    <w:pPr>
      <w:spacing w:after="0" w:line="240" w:lineRule="auto"/>
    </w:pPr>
    <w:rPr>
      <w:rFonts w:eastAsia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3F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4D2"/>
  </w:style>
  <w:style w:type="paragraph" w:styleId="ab">
    <w:name w:val="footer"/>
    <w:basedOn w:val="a"/>
    <w:link w:val="ac"/>
    <w:uiPriority w:val="99"/>
    <w:unhideWhenUsed/>
    <w:rsid w:val="003F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4D2"/>
  </w:style>
  <w:style w:type="table" w:customStyle="1" w:styleId="12">
    <w:name w:val="Сетка таблицы12"/>
    <w:basedOn w:val="a1"/>
    <w:next w:val="a5"/>
    <w:uiPriority w:val="39"/>
    <w:rsid w:val="001259AE"/>
    <w:pPr>
      <w:spacing w:after="0" w:line="240" w:lineRule="auto"/>
    </w:pPr>
    <w:rPr>
      <w:rFonts w:eastAsia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5"/>
    <w:uiPriority w:val="39"/>
    <w:rsid w:val="001259AE"/>
    <w:pPr>
      <w:spacing w:after="0" w:line="240" w:lineRule="auto"/>
    </w:pPr>
    <w:rPr>
      <w:rFonts w:eastAsia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85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8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7EC1-3CD1-402B-AD57-CABAFD40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2018-10-22T07:56:00Z</cp:lastPrinted>
  <dcterms:created xsi:type="dcterms:W3CDTF">2018-06-22T06:15:00Z</dcterms:created>
  <dcterms:modified xsi:type="dcterms:W3CDTF">2019-08-05T13:12:00Z</dcterms:modified>
</cp:coreProperties>
</file>