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58" w:rsidRDefault="00793C58">
      <w:pPr>
        <w:rPr>
          <w:lang w:val="uk-UA"/>
        </w:rPr>
      </w:pPr>
    </w:p>
    <w:p w:rsidR="002D0CD6" w:rsidRDefault="002D0CD6">
      <w:pPr>
        <w:rPr>
          <w:lang w:val="uk-UA"/>
        </w:rPr>
      </w:pPr>
    </w:p>
    <w:p w:rsidR="007B4F5F" w:rsidRDefault="002D0CD6" w:rsidP="007B4F5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CD6">
        <w:rPr>
          <w:rFonts w:ascii="Times New Roman" w:hAnsi="Times New Roman" w:cs="Times New Roman"/>
          <w:b/>
          <w:sz w:val="28"/>
          <w:szCs w:val="28"/>
        </w:rPr>
        <w:t>АНАЛІ</w:t>
      </w:r>
      <w:proofErr w:type="gramStart"/>
      <w:r w:rsidRPr="002D0CD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D0CD6">
        <w:rPr>
          <w:rFonts w:ascii="Times New Roman" w:hAnsi="Times New Roman" w:cs="Times New Roman"/>
          <w:b/>
          <w:sz w:val="28"/>
          <w:szCs w:val="28"/>
        </w:rPr>
        <w:t xml:space="preserve"> РЕГУЛЯТОРНОГО ВПЛИВУ АКТА:</w:t>
      </w:r>
      <w:r w:rsidRPr="002D0C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0CD6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Комишуваської селищної ради «Про Проект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конкурсний  відбір </w:t>
      </w:r>
      <w:r w:rsidR="007B4F5F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Pr="002D0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оціночної діяльності»</w:t>
      </w:r>
    </w:p>
    <w:p w:rsidR="003251A3" w:rsidRDefault="002D0CD6" w:rsidP="007B4F5F">
      <w:pPr>
        <w:ind w:firstLine="709"/>
        <w:jc w:val="both"/>
        <w:rPr>
          <w:lang w:val="uk-UA"/>
        </w:rPr>
      </w:pPr>
      <w:r w:rsidRPr="002D0CD6">
        <w:rPr>
          <w:rStyle w:val="a4"/>
          <w:rFonts w:ascii="Times New Roman" w:hAnsi="Times New Roman" w:cs="Times New Roman"/>
          <w:sz w:val="28"/>
          <w:szCs w:val="28"/>
          <w:lang w:val="uk-UA"/>
        </w:rPr>
        <w:t>Регуляторний орган</w:t>
      </w:r>
      <w:r w:rsidRPr="002D0CD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– Комишуваська селищна рада Оріхівського району</w:t>
      </w:r>
      <w:r w:rsidR="007B4F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Запорізької області.</w:t>
      </w:r>
    </w:p>
    <w:p w:rsidR="003251A3" w:rsidRPr="003251A3" w:rsidRDefault="003251A3" w:rsidP="000226E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І. Визначення проблеми</w:t>
      </w:r>
    </w:p>
    <w:p w:rsidR="003251A3" w:rsidRPr="003251A3" w:rsidRDefault="003251A3" w:rsidP="00B2757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Матеріальною та фінансовою основою місцевого самоврядування є рухоме й нерухоме майно, доходи місцевих бюджетів, земля, природні ресурси, що є в комунальній власності територіальної громади.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Регламентоване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органу </w:t>
      </w:r>
      <w:proofErr w:type="gramStart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proofErr w:type="gramEnd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ісцевого самоврядування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фінансово-економічну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самостійність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неможливо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реалізувати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</w:t>
      </w:r>
      <w:r w:rsidR="007B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майнового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комплексу,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селищна рада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майном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7B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землями  на</w:t>
      </w:r>
      <w:r w:rsidR="000838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території населених пунктів 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Комишуваської селищної ради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8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ринкової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81A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вартості</w:t>
      </w:r>
      <w:proofErr w:type="spellEnd"/>
      <w:r w:rsidR="000838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селищно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при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майна в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ідчуженні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</w:t>
      </w:r>
      <w:proofErr w:type="spellStart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експертно</w:t>
      </w:r>
      <w:proofErr w:type="spellEnd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грошової оцінки </w:t>
      </w:r>
      <w:r w:rsidR="000838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земельних ділянок несіль</w:t>
      </w:r>
      <w:r w:rsidR="0060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</w:t>
      </w:r>
      <w:r w:rsidR="000838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</w:t>
      </w:r>
      <w:r w:rsidR="0060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одарського п</w:t>
      </w:r>
      <w:r w:rsidR="000838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ризначення під об’єктами 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чинного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</w:t>
      </w:r>
      <w:proofErr w:type="spellEnd"/>
      <w:r w:rsidR="0060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6067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 w:rsidR="00B2757D">
        <w:rPr>
          <w:rFonts w:ascii="Times New Roman" w:eastAsia="Times New Roman" w:hAnsi="Times New Roman" w:cs="Times New Roman"/>
          <w:color w:val="000000"/>
          <w:sz w:val="28"/>
          <w:szCs w:val="28"/>
        </w:rPr>
        <w:t>яльності</w:t>
      </w:r>
      <w:proofErr w:type="spellEnd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повинен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засадах.</w:t>
      </w:r>
    </w:p>
    <w:p w:rsidR="003251A3" w:rsidRPr="00B2757D" w:rsidRDefault="003251A3" w:rsidP="00B2757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сьогоднішній день </w:t>
      </w:r>
      <w:proofErr w:type="spellStart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Комишуваською</w:t>
      </w:r>
      <w:proofErr w:type="spellEnd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селищною </w:t>
      </w:r>
      <w:r w:rsidRP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радою не прийнято нормативного акта, який би регулював питання конкурсного відбору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суб’єктів оціночної діяльності для проведення  оцінки комунального майна </w:t>
      </w:r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proofErr w:type="spellStart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експертно</w:t>
      </w:r>
      <w:proofErr w:type="spellEnd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грошової оцінки земельних ділянок </w:t>
      </w:r>
      <w:proofErr w:type="spellStart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несільгоспризначення</w:t>
      </w:r>
      <w:proofErr w:type="spellEnd"/>
      <w:r w:rsidR="008A33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</w:t>
      </w:r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об’єктами</w:t>
      </w:r>
      <w:r w:rsidRP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ідгрупи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справляє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0"/>
        <w:gridCol w:w="2670"/>
        <w:gridCol w:w="2400"/>
      </w:tblGrid>
      <w:tr w:rsidR="003251A3" w:rsidRPr="003251A3" w:rsidTr="003251A3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ідгрупи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spellEnd"/>
          </w:p>
        </w:tc>
      </w:tr>
      <w:tr w:rsidR="003251A3" w:rsidRPr="003251A3" w:rsidTr="003251A3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1A3" w:rsidRPr="003251A3" w:rsidTr="003251A3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8A33B0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1A3" w:rsidRPr="003251A3" w:rsidTr="003251A3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1A3" w:rsidRPr="003251A3" w:rsidTr="003251A3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5AF0" w:rsidRDefault="003251A3" w:rsidP="00E85AF0">
      <w:pPr>
        <w:pStyle w:val="a3"/>
        <w:jc w:val="both"/>
        <w:rPr>
          <w:color w:val="000000"/>
          <w:sz w:val="28"/>
          <w:szCs w:val="28"/>
          <w:lang w:val="uk-UA"/>
        </w:rPr>
      </w:pPr>
      <w:r w:rsidRPr="003251A3">
        <w:rPr>
          <w:color w:val="000000"/>
          <w:sz w:val="28"/>
          <w:szCs w:val="28"/>
        </w:rPr>
        <w:lastRenderedPageBreak/>
        <w:t xml:space="preserve">Таким чином, </w:t>
      </w:r>
      <w:proofErr w:type="spellStart"/>
      <w:r w:rsidRPr="003251A3">
        <w:rPr>
          <w:color w:val="000000"/>
          <w:sz w:val="28"/>
          <w:szCs w:val="28"/>
        </w:rPr>
        <w:t>зазначена</w:t>
      </w:r>
      <w:proofErr w:type="spellEnd"/>
      <w:r w:rsidRPr="003251A3">
        <w:rPr>
          <w:color w:val="000000"/>
          <w:sz w:val="28"/>
          <w:szCs w:val="28"/>
        </w:rPr>
        <w:t xml:space="preserve"> проблема </w:t>
      </w:r>
      <w:proofErr w:type="spellStart"/>
      <w:r w:rsidRPr="003251A3">
        <w:rPr>
          <w:color w:val="000000"/>
          <w:sz w:val="28"/>
          <w:szCs w:val="28"/>
        </w:rPr>
        <w:t>потребує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r w:rsidRPr="003251A3">
        <w:rPr>
          <w:color w:val="000000"/>
          <w:sz w:val="28"/>
          <w:szCs w:val="28"/>
        </w:rPr>
        <w:t>негайного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r w:rsidRPr="003251A3">
        <w:rPr>
          <w:color w:val="000000"/>
          <w:sz w:val="28"/>
          <w:szCs w:val="28"/>
        </w:rPr>
        <w:t>вирішення</w:t>
      </w:r>
      <w:proofErr w:type="spellEnd"/>
      <w:r w:rsidRPr="003251A3">
        <w:rPr>
          <w:color w:val="000000"/>
          <w:sz w:val="28"/>
          <w:szCs w:val="28"/>
        </w:rPr>
        <w:t xml:space="preserve"> шляхом </w:t>
      </w:r>
      <w:proofErr w:type="spellStart"/>
      <w:r w:rsidRPr="003251A3">
        <w:rPr>
          <w:color w:val="000000"/>
          <w:sz w:val="28"/>
          <w:szCs w:val="28"/>
        </w:rPr>
        <w:t>прийняття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51A3">
        <w:rPr>
          <w:color w:val="000000"/>
          <w:sz w:val="28"/>
          <w:szCs w:val="28"/>
        </w:rPr>
        <w:t>р</w:t>
      </w:r>
      <w:proofErr w:type="gramEnd"/>
      <w:r w:rsidRPr="003251A3">
        <w:rPr>
          <w:color w:val="000000"/>
          <w:sz w:val="28"/>
          <w:szCs w:val="28"/>
        </w:rPr>
        <w:t>ішення</w:t>
      </w:r>
      <w:proofErr w:type="spellEnd"/>
      <w:r w:rsidRPr="003251A3">
        <w:rPr>
          <w:color w:val="000000"/>
          <w:sz w:val="28"/>
          <w:szCs w:val="28"/>
        </w:rPr>
        <w:t xml:space="preserve"> К</w:t>
      </w:r>
      <w:proofErr w:type="spellStart"/>
      <w:r w:rsidR="008A33B0">
        <w:rPr>
          <w:color w:val="000000"/>
          <w:sz w:val="28"/>
          <w:szCs w:val="28"/>
          <w:lang w:val="uk-UA"/>
        </w:rPr>
        <w:t>омишуваської</w:t>
      </w:r>
      <w:proofErr w:type="spellEnd"/>
      <w:r w:rsidR="008A33B0">
        <w:rPr>
          <w:color w:val="000000"/>
          <w:sz w:val="28"/>
          <w:szCs w:val="28"/>
          <w:lang w:val="uk-UA"/>
        </w:rPr>
        <w:t xml:space="preserve"> селищної</w:t>
      </w:r>
      <w:r w:rsidRPr="003251A3">
        <w:rPr>
          <w:color w:val="000000"/>
          <w:sz w:val="28"/>
          <w:szCs w:val="28"/>
        </w:rPr>
        <w:t xml:space="preserve"> ради «Про </w:t>
      </w:r>
      <w:proofErr w:type="spellStart"/>
      <w:r w:rsidRPr="003251A3">
        <w:rPr>
          <w:color w:val="000000"/>
          <w:sz w:val="28"/>
          <w:szCs w:val="28"/>
        </w:rPr>
        <w:t>затвердження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r w:rsidRPr="003251A3">
        <w:rPr>
          <w:color w:val="000000"/>
          <w:sz w:val="28"/>
          <w:szCs w:val="28"/>
        </w:rPr>
        <w:t>Положення</w:t>
      </w:r>
      <w:proofErr w:type="spellEnd"/>
      <w:r w:rsidRPr="003251A3">
        <w:rPr>
          <w:color w:val="000000"/>
          <w:sz w:val="28"/>
          <w:szCs w:val="28"/>
        </w:rPr>
        <w:t xml:space="preserve"> про </w:t>
      </w:r>
      <w:proofErr w:type="spellStart"/>
      <w:r w:rsidRPr="003251A3">
        <w:rPr>
          <w:color w:val="000000"/>
          <w:sz w:val="28"/>
          <w:szCs w:val="28"/>
        </w:rPr>
        <w:t>конкурсний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r w:rsidRPr="003251A3">
        <w:rPr>
          <w:color w:val="000000"/>
          <w:sz w:val="28"/>
          <w:szCs w:val="28"/>
        </w:rPr>
        <w:t>відбір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r w:rsidRPr="003251A3">
        <w:rPr>
          <w:color w:val="000000"/>
          <w:sz w:val="28"/>
          <w:szCs w:val="28"/>
        </w:rPr>
        <w:t>суб’єктів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r w:rsidRPr="003251A3">
        <w:rPr>
          <w:color w:val="000000"/>
          <w:sz w:val="28"/>
          <w:szCs w:val="28"/>
        </w:rPr>
        <w:t>оціночної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r w:rsidRPr="003251A3">
        <w:rPr>
          <w:color w:val="000000"/>
          <w:sz w:val="28"/>
          <w:szCs w:val="28"/>
        </w:rPr>
        <w:t>діяльності</w:t>
      </w:r>
      <w:proofErr w:type="spellEnd"/>
      <w:r w:rsidRPr="003251A3">
        <w:rPr>
          <w:color w:val="000000"/>
          <w:sz w:val="28"/>
          <w:szCs w:val="28"/>
        </w:rPr>
        <w:t xml:space="preserve">» </w:t>
      </w:r>
      <w:proofErr w:type="spellStart"/>
      <w:r w:rsidRPr="003251A3">
        <w:rPr>
          <w:color w:val="000000"/>
          <w:sz w:val="28"/>
          <w:szCs w:val="28"/>
        </w:rPr>
        <w:t>підготовленого</w:t>
      </w:r>
      <w:proofErr w:type="spellEnd"/>
      <w:r w:rsidRPr="003251A3">
        <w:rPr>
          <w:color w:val="000000"/>
          <w:sz w:val="28"/>
          <w:szCs w:val="28"/>
        </w:rPr>
        <w:t xml:space="preserve"> </w:t>
      </w:r>
      <w:proofErr w:type="spellStart"/>
      <w:r w:rsidRPr="003251A3">
        <w:rPr>
          <w:color w:val="000000"/>
          <w:sz w:val="28"/>
          <w:szCs w:val="28"/>
        </w:rPr>
        <w:t>відповідно</w:t>
      </w:r>
      <w:proofErr w:type="spellEnd"/>
      <w:r w:rsidRPr="003251A3">
        <w:rPr>
          <w:color w:val="000000"/>
          <w:sz w:val="28"/>
          <w:szCs w:val="28"/>
        </w:rPr>
        <w:t xml:space="preserve"> до</w:t>
      </w:r>
      <w:r w:rsidR="00E85AF0">
        <w:rPr>
          <w:color w:val="000000"/>
          <w:sz w:val="28"/>
          <w:szCs w:val="28"/>
          <w:lang w:val="uk-UA"/>
        </w:rPr>
        <w:t xml:space="preserve">   Земельного кодексу України, законів України «Про оцінку земель», «Про оцінку майна, майнових прав та професійну оціночну діяльність в Україні», «Про місцеве самоврядування в Україні», Положення про конкурсний відбір суб’єктів оціночної діяльності, затвердженого наказом Фонду державного майна України від 31.12.2015р. за №2075. </w:t>
      </w:r>
    </w:p>
    <w:p w:rsidR="003251A3" w:rsidRPr="000226E9" w:rsidRDefault="003251A3" w:rsidP="000226E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</w:t>
      </w:r>
      <w:proofErr w:type="spellStart"/>
      <w:proofErr w:type="gram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proofErr w:type="gram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ілі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державного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регулювання</w:t>
      </w:r>
      <w:proofErr w:type="spellEnd"/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ілями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акту є: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proofErr w:type="spellStart"/>
      <w:r w:rsidR="00E85A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«Про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майнових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E85A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,</w:t>
      </w:r>
      <w:proofErr w:type="gramEnd"/>
      <w:r w:rsidR="00E85A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оцінку земель»  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відбору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оцінкою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</w:t>
      </w:r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проведення </w:t>
      </w:r>
      <w:proofErr w:type="spellStart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експертно</w:t>
      </w:r>
      <w:proofErr w:type="spellEnd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грошової оцінки землі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селищної ради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відчуженні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</w:t>
      </w:r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експертно</w:t>
      </w:r>
      <w:proofErr w:type="spellEnd"/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грошової оцінки землі селищної </w:t>
      </w:r>
      <w:proofErr w:type="gramStart"/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26E9" w:rsidRDefault="003251A3" w:rsidP="000226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III.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Визначення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оцінка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альтернативних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способів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досягнення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цілей</w:t>
      </w:r>
      <w:proofErr w:type="spellEnd"/>
    </w:p>
    <w:p w:rsidR="003251A3" w:rsidRPr="003251A3" w:rsidRDefault="003251A3" w:rsidP="000226E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Альтернативні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="00B275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6529"/>
      </w:tblGrid>
      <w:tr w:rsidR="003251A3" w:rsidRPr="003251A3" w:rsidTr="00B2757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альтернативи</w:t>
            </w:r>
            <w:proofErr w:type="spellEnd"/>
          </w:p>
        </w:tc>
      </w:tr>
      <w:tr w:rsidR="003251A3" w:rsidRPr="003251A3" w:rsidTr="00B2757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неможливе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1A3" w:rsidRPr="003251A3" w:rsidTr="00B2757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</w:p>
        </w:tc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B2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сьогоднішній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Комишуваською</w:t>
            </w:r>
            <w:proofErr w:type="spellEnd"/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селищною радою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радою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нормативного акта,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відбору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експертно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грошової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землі та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майна.</w:t>
            </w:r>
          </w:p>
        </w:tc>
      </w:tr>
      <w:tr w:rsidR="003251A3" w:rsidRPr="003251A3" w:rsidTr="00B2757D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2A6A6E" w:rsidRDefault="003251A3" w:rsidP="002A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регуляторного акта,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узгоджуються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чинною нормативною</w:t>
            </w:r>
            <w:r w:rsidR="002A6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базою </w:t>
            </w:r>
            <w:proofErr w:type="spellStart"/>
            <w:r w:rsidR="002A6A6E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2A6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A6E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2A6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6A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коммунального</w:t>
            </w:r>
            <w:r w:rsidR="002A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майна</w:t>
            </w:r>
            <w:r w:rsidR="002A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землі</w:t>
            </w:r>
          </w:p>
        </w:tc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Запропонований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потребам 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розв’язанні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принципам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ньому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відбору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сферу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селищної ради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існуючої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неможливе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розглянемо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селищної ради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spellStart"/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омишуваською</w:t>
      </w:r>
      <w:proofErr w:type="spellEnd"/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селищною радою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конкурсний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відбір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5"/>
        <w:gridCol w:w="4980"/>
        <w:gridCol w:w="2435"/>
      </w:tblGrid>
      <w:tr w:rsidR="003251A3" w:rsidRPr="003251A3" w:rsidTr="00B2757D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3251A3" w:rsidRPr="003251A3" w:rsidTr="00B2757D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0226E9" w:rsidRDefault="000226E9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0226E9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Усунення законодавчих прогалин у питаннях оцінки об’єктів комунальної власності</w:t>
            </w:r>
            <w:r w:rsid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землі</w:t>
            </w:r>
            <w:r w:rsidRP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Встановлення чіткої процедури конкурсу з відбору суб’єктів оціночної діяльності.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3251A3" w:rsidRPr="003251A3" w:rsidTr="00B2757D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</w:t>
            </w:r>
            <w:r w:rsidR="00B275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проведення </w:t>
            </w:r>
            <w:proofErr w:type="spellStart"/>
            <w:r w:rsidR="00B275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експертно</w:t>
            </w:r>
            <w:proofErr w:type="spellEnd"/>
            <w:r w:rsidR="00B275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грошової оцінки</w:t>
            </w:r>
            <w:r w:rsid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землі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яке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передається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відчужується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3251A3" w:rsidRPr="003251A3" w:rsidTr="00B2757D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прозорому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нормативно-правовому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ідприємницької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конкурентоспроможних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</w:tbl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підпадають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ію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змінною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наміру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в конкурсному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відборі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експертно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грошової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земельних ділянок та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</w:t>
      </w:r>
      <w:r w:rsidR="006A01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ради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144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9"/>
        <w:gridCol w:w="3542"/>
      </w:tblGrid>
      <w:tr w:rsidR="003251A3" w:rsidRPr="003251A3" w:rsidTr="0025255C"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альтернативами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3251A3" w:rsidRPr="003251A3" w:rsidTr="0025255C"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1A3" w:rsidRPr="003251A3" w:rsidTr="0025255C"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1A3" w:rsidRPr="003251A3" w:rsidTr="0025255C"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регуляторного акта,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узгоджуються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чинною нормативною базою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251A3" w:rsidRPr="000226E9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Вибі</w:t>
      </w:r>
      <w:proofErr w:type="gram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найбільш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оптимального альтернативного способу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досягнення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цілей</w:t>
      </w:r>
      <w:proofErr w:type="spellEnd"/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1"/>
        <w:gridCol w:w="1892"/>
        <w:gridCol w:w="4447"/>
      </w:tblGrid>
      <w:tr w:rsidR="003251A3" w:rsidRPr="003251A3" w:rsidTr="0025255C"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Рейтинг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чотирибальною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системою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Коментарі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</w:t>
            </w:r>
          </w:p>
        </w:tc>
      </w:tr>
      <w:tr w:rsidR="003251A3" w:rsidRPr="003251A3" w:rsidTr="0025255C"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0226E9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регуляторного акта,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узгоджуються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чинною нормативною базою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</w:t>
            </w:r>
            <w:r w:rsid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землі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2A6A6E" w:rsidRDefault="002A6A6E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6A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дозволяє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врегулювати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та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відбору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</w:p>
        </w:tc>
      </w:tr>
      <w:tr w:rsidR="003251A3" w:rsidRPr="003251A3" w:rsidTr="0025255C"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2A6A6E" w:rsidRDefault="002A6A6E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6A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реалізована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селищною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радою</w:t>
            </w:r>
          </w:p>
        </w:tc>
      </w:tr>
      <w:tr w:rsidR="003251A3" w:rsidRPr="003251A3" w:rsidTr="0025255C"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дозволяє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досягнути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</w:p>
        </w:tc>
      </w:tr>
    </w:tbl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144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2584"/>
        <w:gridCol w:w="2584"/>
        <w:gridCol w:w="2237"/>
      </w:tblGrid>
      <w:tr w:rsidR="003251A3" w:rsidRPr="003251A3" w:rsidTr="0025255C"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Рейтинг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результативності</w:t>
            </w:r>
            <w:proofErr w:type="spellEnd"/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ідсумок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ідсумок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місця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рейтингу</w:t>
            </w:r>
          </w:p>
        </w:tc>
      </w:tr>
      <w:tr w:rsidR="003251A3" w:rsidRPr="003251A3" w:rsidTr="0025255C"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2A6A6E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регуляторного акта,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узгоджуються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чинною нормативною базою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майна</w:t>
            </w:r>
            <w:r w:rsidR="002A6A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землі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Дозволить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реалізувати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proofErr w:type="spellStart"/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 «Про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майнових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та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«Про оцінку земель»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Удосконалить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порядок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відкритість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прозорість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відбору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Зменшить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оцінкою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 </w:t>
            </w:r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експертно</w:t>
            </w:r>
            <w:proofErr w:type="spellEnd"/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грошової оцінки землі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відчуженні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Дозволить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скоротити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майна.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Відсутні</w:t>
            </w:r>
            <w:proofErr w:type="spellEnd"/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6A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оскільки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врегулює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та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відбору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діяльності</w:t>
            </w:r>
            <w:proofErr w:type="spellEnd"/>
            <w:r w:rsidR="006A01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1A3" w:rsidRPr="003251A3" w:rsidTr="0025255C"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Внесення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252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реалізована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25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радою</w:t>
            </w:r>
          </w:p>
        </w:tc>
      </w:tr>
      <w:tr w:rsidR="003251A3" w:rsidRPr="003251A3" w:rsidTr="0025255C"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</w:p>
        </w:tc>
      </w:tr>
    </w:tbl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9"/>
        <w:gridCol w:w="3270"/>
        <w:gridCol w:w="3221"/>
      </w:tblGrid>
      <w:tr w:rsidR="003251A3" w:rsidRPr="003251A3" w:rsidTr="0025255C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причини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чинникі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регуляторного акта</w:t>
            </w:r>
          </w:p>
        </w:tc>
      </w:tr>
      <w:tr w:rsidR="003251A3" w:rsidRPr="003251A3" w:rsidTr="0025255C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251A3" w:rsidRPr="003251A3" w:rsidRDefault="003251A3" w:rsidP="0025255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регуляторного акта,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узгоджуються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чинною нормативною базою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</w:t>
            </w:r>
            <w:r w:rsidR="006D0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6D0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експертно</w:t>
            </w:r>
            <w:proofErr w:type="spellEnd"/>
            <w:r w:rsidR="006D0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грошової оцінки землі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251A3" w:rsidRPr="003251A3" w:rsidRDefault="003251A3" w:rsidP="006D0B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зазначеної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ільним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можливість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регуляторного акта,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повноваженням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0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Закону України «Про місцеве самоврядування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вказану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найкращим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чином, 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врахувати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D0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селищної ради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ідприємців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простішої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відбору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чинному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дію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регуляторного акта, до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доповнення</w:t>
            </w:r>
            <w:proofErr w:type="spellEnd"/>
          </w:p>
        </w:tc>
      </w:tr>
      <w:tr w:rsidR="003251A3" w:rsidRPr="003251A3" w:rsidTr="0025255C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Внесення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</w:p>
          <w:p w:rsidR="003251A3" w:rsidRPr="003251A3" w:rsidRDefault="003251A3" w:rsidP="003251A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6D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реалізована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0B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селищною 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радою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251A3" w:rsidRPr="003251A3" w:rsidTr="0025255C"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існуючої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Унеможливлює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51A3" w:rsidRPr="003251A3" w:rsidRDefault="003251A3" w:rsidP="0032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1A3" w:rsidRPr="000226E9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V.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Механізми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заходи,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забезпечать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розв’язання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визначеної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проблеми</w:t>
      </w:r>
      <w:proofErr w:type="spellEnd"/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конкурсний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відбі</w:t>
      </w:r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врегулюється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відбору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суб’єкта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оціночної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даному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дозволить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суб’єкта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якісне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нижчою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ціною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найкоротші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строки.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1A3" w:rsidRPr="000226E9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VI.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Оцінка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виконання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вимог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регуляторного акта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залежно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ресурсів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якими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розпоряджаються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виконавчої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місцевого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самоврядування,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фізичні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юридичні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особи,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повинні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проваджувати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виконувати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вимоги</w:t>
      </w:r>
      <w:proofErr w:type="spellEnd"/>
    </w:p>
    <w:p w:rsidR="003251A3" w:rsidRPr="003251A3" w:rsidRDefault="003251A3" w:rsidP="00022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 не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</w:p>
    <w:p w:rsidR="003251A3" w:rsidRPr="003251A3" w:rsidRDefault="003251A3" w:rsidP="00022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додаткових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контроль за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1A3" w:rsidRPr="000226E9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VII.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запропонованого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строку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дії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регуляторного акта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Запропонований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регуляторного акта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запроваджується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226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необмежений</w:t>
      </w:r>
      <w:r w:rsidR="006D0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майна. У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вноситимуться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т.ч. за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ідсумками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1A3" w:rsidRPr="000226E9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VIII.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Визначення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показників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результативності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дії</w:t>
      </w:r>
      <w:proofErr w:type="spellEnd"/>
      <w:r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регуляторного акта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Виходячи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регуляторного акта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селищної </w:t>
      </w:r>
      <w:proofErr w:type="gramStart"/>
      <w:r w:rsidR="00252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proofErr w:type="gramEnd"/>
      <w:r w:rsidR="00252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яким проведено оцінку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кількість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</w:t>
      </w:r>
      <w:proofErr w:type="spellStart"/>
      <w:r w:rsidR="00252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експертн</w:t>
      </w:r>
      <w:proofErr w:type="spellEnd"/>
      <w:r w:rsidR="000226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грошових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proofErr w:type="spellEnd"/>
      <w:r w:rsidR="00252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226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землі</w:t>
      </w:r>
      <w:r w:rsid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</w:t>
      </w:r>
      <w:r w:rsid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землі</w:t>
      </w:r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суб’єктами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1A3" w:rsidRDefault="002A6A6E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 </w:t>
      </w:r>
      <w:proofErr w:type="spellStart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</w:t>
      </w:r>
      <w:proofErr w:type="spellStart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  <w:r w:rsid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землі.</w:t>
      </w:r>
    </w:p>
    <w:p w:rsidR="00CD474C" w:rsidRPr="003251A3" w:rsidRDefault="002A6A6E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Обсяг коштів зарахованих  до бюджету ради  в результаті дії регуляторного акту.</w:t>
      </w:r>
    </w:p>
    <w:p w:rsidR="003251A3" w:rsidRPr="00CD474C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IX. </w:t>
      </w:r>
      <w:proofErr w:type="spell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Визначення</w:t>
      </w:r>
      <w:proofErr w:type="spellEnd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заході</w:t>
      </w:r>
      <w:proofErr w:type="gram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за </w:t>
      </w:r>
      <w:proofErr w:type="spell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допомогою</w:t>
      </w:r>
      <w:proofErr w:type="spellEnd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яких</w:t>
      </w:r>
      <w:proofErr w:type="spellEnd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здійснюватиметься</w:t>
      </w:r>
      <w:proofErr w:type="spellEnd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відстеження</w:t>
      </w:r>
      <w:proofErr w:type="spellEnd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результативності</w:t>
      </w:r>
      <w:proofErr w:type="spellEnd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дії</w:t>
      </w:r>
      <w:proofErr w:type="spellEnd"/>
      <w:r w:rsidRPr="00CD4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регуляторного акта</w:t>
      </w:r>
    </w:p>
    <w:p w:rsidR="00CD474C" w:rsidRPr="00CD474C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Базове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вищезазначеного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 буде</w:t>
      </w:r>
      <w:r w:rsid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девять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статистичним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шляхом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вказаних в пункті </w:t>
      </w:r>
      <w:r w:rsidR="00CD474C" w:rsidRPr="00022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VIII</w:t>
      </w:r>
      <w:r w:rsidR="00CD4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D474C" w:rsidRP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документу</w:t>
      </w:r>
      <w:r w:rsidR="00CD47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Повторне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передбачається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1 </w:t>
      </w:r>
      <w:proofErr w:type="spellStart"/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акта.</w:t>
      </w:r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неврегульованих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передбачається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встановлювати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акту, буде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розглядатись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виправлення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251A3" w:rsidRPr="003251A3" w:rsidRDefault="003251A3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1A3" w:rsidRPr="007B030D" w:rsidRDefault="007B030D" w:rsidP="003251A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Селищний голова          </w:t>
      </w:r>
      <w:r w:rsidR="003251A3" w:rsidRPr="003251A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Ю.В. Карапетян</w:t>
      </w:r>
    </w:p>
    <w:p w:rsidR="003251A3" w:rsidRPr="003251A3" w:rsidRDefault="003251A3" w:rsidP="003251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51A3" w:rsidRPr="003251A3" w:rsidSect="00793C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75" w:rsidRDefault="002D7075" w:rsidP="002A6A6E">
      <w:pPr>
        <w:spacing w:after="0" w:line="240" w:lineRule="auto"/>
      </w:pPr>
      <w:r>
        <w:separator/>
      </w:r>
    </w:p>
  </w:endnote>
  <w:endnote w:type="continuationSeparator" w:id="1">
    <w:p w:rsidR="002D7075" w:rsidRDefault="002D7075" w:rsidP="002A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6E" w:rsidRDefault="002A6A6E">
    <w:pPr>
      <w:pStyle w:val="a7"/>
    </w:pPr>
  </w:p>
  <w:p w:rsidR="002A6A6E" w:rsidRDefault="002A6A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75" w:rsidRDefault="002D7075" w:rsidP="002A6A6E">
      <w:pPr>
        <w:spacing w:after="0" w:line="240" w:lineRule="auto"/>
      </w:pPr>
      <w:r>
        <w:separator/>
      </w:r>
    </w:p>
  </w:footnote>
  <w:footnote w:type="continuationSeparator" w:id="1">
    <w:p w:rsidR="002D7075" w:rsidRDefault="002D7075" w:rsidP="002A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6343"/>
    <w:multiLevelType w:val="multilevel"/>
    <w:tmpl w:val="8612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1A3"/>
    <w:rsid w:val="000226E9"/>
    <w:rsid w:val="0008381A"/>
    <w:rsid w:val="0025255C"/>
    <w:rsid w:val="002A6A6E"/>
    <w:rsid w:val="002B5AA3"/>
    <w:rsid w:val="002D0CD6"/>
    <w:rsid w:val="002D7075"/>
    <w:rsid w:val="003251A3"/>
    <w:rsid w:val="004D43C5"/>
    <w:rsid w:val="005353AE"/>
    <w:rsid w:val="006067AB"/>
    <w:rsid w:val="00653AC1"/>
    <w:rsid w:val="006A01E3"/>
    <w:rsid w:val="006D0B41"/>
    <w:rsid w:val="00793C58"/>
    <w:rsid w:val="007B030D"/>
    <w:rsid w:val="007B4F5F"/>
    <w:rsid w:val="00881E12"/>
    <w:rsid w:val="008A33B0"/>
    <w:rsid w:val="00B2757D"/>
    <w:rsid w:val="00CD474C"/>
    <w:rsid w:val="00D600D4"/>
    <w:rsid w:val="00E8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D0CD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A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A6E"/>
  </w:style>
  <w:style w:type="paragraph" w:styleId="a7">
    <w:name w:val="footer"/>
    <w:basedOn w:val="a"/>
    <w:link w:val="a8"/>
    <w:uiPriority w:val="99"/>
    <w:semiHidden/>
    <w:unhideWhenUsed/>
    <w:rsid w:val="002A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2017-09-28T08:29:00Z</cp:lastPrinted>
  <dcterms:created xsi:type="dcterms:W3CDTF">2017-09-10T17:43:00Z</dcterms:created>
  <dcterms:modified xsi:type="dcterms:W3CDTF">2017-09-28T08:30:00Z</dcterms:modified>
</cp:coreProperties>
</file>